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1CC6" w14:textId="77777777" w:rsidR="00092334" w:rsidRDefault="00092334"/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78"/>
      </w:tblGrid>
      <w:tr w:rsidR="00622A70" w:rsidRPr="00092334" w14:paraId="318DC012" w14:textId="77777777" w:rsidTr="004C0415">
        <w:trPr>
          <w:trHeight w:val="3690"/>
        </w:trPr>
        <w:tc>
          <w:tcPr>
            <w:tcW w:w="4958" w:type="dxa"/>
            <w:shd w:val="clear" w:color="auto" w:fill="auto"/>
          </w:tcPr>
          <w:p w14:paraId="43D48E83" w14:textId="77777777" w:rsidR="00092334" w:rsidRDefault="00092334" w:rsidP="00092334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ro-RO"/>
              </w:rPr>
            </w:pPr>
          </w:p>
          <w:p w14:paraId="3F5A8C67" w14:textId="3B6F5CCC" w:rsidR="00622A70" w:rsidRPr="00092334" w:rsidRDefault="00622A70" w:rsidP="00092334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ro-RO"/>
              </w:rPr>
              <w:t>Nota 2</w:t>
            </w:r>
            <w:r w:rsidR="00DE39C9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  <w:r w:rsidRPr="0009233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ro-RO"/>
              </w:rPr>
              <w:t xml:space="preserve"> AGOA</w:t>
            </w:r>
          </w:p>
          <w:p w14:paraId="0FC920FD" w14:textId="77777777" w:rsidR="00622A70" w:rsidRPr="00092334" w:rsidRDefault="00622A70" w:rsidP="00092334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ro-RO"/>
              </w:rPr>
            </w:pPr>
          </w:p>
          <w:p w14:paraId="32034E05" w14:textId="286240A8" w:rsidR="00622A70" w:rsidRPr="00DE39C9" w:rsidRDefault="00DE39C9" w:rsidP="00DE39C9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Aprobarea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schimbării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destinaţiei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sumei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de 20.527.964 RON din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alte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rezerve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şi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distribuirea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acestei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sume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ca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dividende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către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acţionari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respectiv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 xml:space="preserve"> 0,0737909 RON brut/</w:t>
            </w:r>
            <w:proofErr w:type="spellStart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acţiune</w:t>
            </w:r>
            <w:proofErr w:type="spellEnd"/>
            <w:r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</w:p>
          <w:p w14:paraId="43D4F3ED" w14:textId="77777777" w:rsidR="00622A70" w:rsidRDefault="00622A70" w:rsidP="00092334">
            <w:pPr>
              <w:pStyle w:val="NoSpacing"/>
              <w:jc w:val="both"/>
              <w:rPr>
                <w:rFonts w:ascii="Century Gothic" w:hAnsi="Century Gothic" w:cs="Times New Roman"/>
                <w:sz w:val="20"/>
                <w:szCs w:val="20"/>
                <w:lang w:val="ro-RO"/>
              </w:rPr>
            </w:pPr>
          </w:p>
          <w:p w14:paraId="09B43605" w14:textId="77777777" w:rsidR="00DE39C9" w:rsidRDefault="00DE39C9" w:rsidP="00092334">
            <w:pPr>
              <w:pStyle w:val="NoSpacing"/>
              <w:jc w:val="both"/>
              <w:rPr>
                <w:rFonts w:ascii="Century Gothic" w:hAnsi="Century Gothic" w:cs="Times New Roman"/>
                <w:sz w:val="20"/>
                <w:szCs w:val="20"/>
                <w:lang w:val="ro-RO"/>
              </w:rPr>
            </w:pPr>
          </w:p>
          <w:p w14:paraId="2BE81025" w14:textId="77777777" w:rsidR="00E8358A" w:rsidRPr="00E8358A" w:rsidRDefault="00E8358A" w:rsidP="004F3F50">
            <w:pPr>
              <w:pStyle w:val="BodyText"/>
              <w:spacing w:before="100"/>
              <w:ind w:left="-108"/>
              <w:rPr>
                <w:rFonts w:ascii="Century Gothic" w:hAnsi="Century Gothic"/>
              </w:rPr>
            </w:pPr>
            <w:proofErr w:type="spellStart"/>
            <w:r w:rsidRPr="00E8358A">
              <w:rPr>
                <w:rFonts w:ascii="Century Gothic" w:hAnsi="Century Gothic"/>
                <w:w w:val="95"/>
              </w:rPr>
              <w:t>Având</w:t>
            </w:r>
            <w:proofErr w:type="spellEnd"/>
            <w:r w:rsidRPr="00E8358A">
              <w:rPr>
                <w:rFonts w:ascii="Century Gothic" w:hAnsi="Century Gothic"/>
                <w:spacing w:val="5"/>
                <w:w w:val="95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</w:rPr>
              <w:t>în</w:t>
            </w:r>
            <w:proofErr w:type="spellEnd"/>
            <w:r w:rsidRPr="00E8358A">
              <w:rPr>
                <w:rFonts w:ascii="Century Gothic" w:hAnsi="Century Gothic"/>
                <w:spacing w:val="7"/>
                <w:w w:val="95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</w:rPr>
              <w:t>vedere</w:t>
            </w:r>
            <w:proofErr w:type="spellEnd"/>
            <w:r w:rsidRPr="00E8358A">
              <w:rPr>
                <w:rFonts w:ascii="Century Gothic" w:hAnsi="Century Gothic"/>
                <w:w w:val="95"/>
              </w:rPr>
              <w:t>:</w:t>
            </w:r>
          </w:p>
          <w:p w14:paraId="00C03582" w14:textId="77777777" w:rsidR="00E8358A" w:rsidRDefault="00E8358A" w:rsidP="00E8358A">
            <w:pPr>
              <w:pStyle w:val="BodyText"/>
              <w:spacing w:before="3"/>
              <w:rPr>
                <w:rFonts w:ascii="Century Gothic" w:hAnsi="Century Gothic"/>
              </w:rPr>
            </w:pPr>
          </w:p>
          <w:p w14:paraId="68D17C70" w14:textId="22CE9978" w:rsidR="00E8358A" w:rsidRPr="00DE39C9" w:rsidRDefault="00E8358A" w:rsidP="00E8358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76"/>
              </w:tabs>
              <w:autoSpaceDE w:val="0"/>
              <w:autoSpaceDN w:val="0"/>
              <w:spacing w:after="0" w:line="242" w:lineRule="auto"/>
              <w:ind w:left="-108" w:right="38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Adresa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nr. </w:t>
            </w:r>
            <w:bookmarkStart w:id="0" w:name="_Hlk163584919"/>
            <w:r w:rsidRPr="00D2148A">
              <w:rPr>
                <w:rFonts w:ascii="Century Gothic" w:hAnsi="Century Gothic"/>
                <w:sz w:val="20"/>
                <w:szCs w:val="20"/>
              </w:rPr>
              <w:t xml:space="preserve">1029/08.04.2024 </w:t>
            </w:r>
            <w:bookmarkEnd w:id="0"/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formulată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de KJK</w:t>
            </w:r>
            <w:r w:rsidRPr="00E8358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 xml:space="preserve">Balkan Holding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S.a.r.l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calitate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acţionar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al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Societăţii</w:t>
            </w:r>
            <w:proofErr w:type="spellEnd"/>
            <w:r w:rsidRPr="00E8358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(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cota</w:t>
            </w:r>
            <w:proofErr w:type="spellEnd"/>
            <w:r w:rsidRPr="00E8358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participare</w:t>
            </w:r>
            <w:proofErr w:type="spellEnd"/>
            <w:r w:rsidRPr="00E8358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10,6797</w:t>
            </w:r>
            <w:r w:rsidRPr="00E8358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%</w:t>
            </w:r>
            <w:r w:rsidRPr="00E8358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din</w:t>
            </w:r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capitalul</w:t>
            </w:r>
            <w:proofErr w:type="spellEnd"/>
            <w:r w:rsidRPr="00E8358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social),</w:t>
            </w:r>
            <w:r w:rsidRPr="00E8358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completare</w:t>
            </w:r>
            <w:proofErr w:type="spellEnd"/>
            <w:r w:rsidRPr="00E8358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</w:t>
            </w:r>
            <w:r w:rsidRPr="00E8358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Ordinii</w:t>
            </w:r>
            <w:proofErr w:type="spellEnd"/>
            <w:r w:rsidRPr="00E8358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zi</w:t>
            </w:r>
            <w:r w:rsidRPr="00E8358A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</w:t>
            </w:r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Adunării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Generale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Ordinare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ionarilor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convocată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pentru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data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de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2</w:t>
            </w:r>
            <w:r>
              <w:rPr>
                <w:rFonts w:ascii="Century Gothic" w:hAnsi="Century Gothic"/>
                <w:sz w:val="20"/>
              </w:rPr>
              <w:t>5</w:t>
            </w:r>
            <w:r w:rsidRPr="00E8358A">
              <w:rPr>
                <w:rFonts w:ascii="Century Gothic" w:hAnsi="Century Gothic"/>
                <w:sz w:val="20"/>
              </w:rPr>
              <w:t xml:space="preserve"> (2</w:t>
            </w:r>
            <w:r>
              <w:rPr>
                <w:rFonts w:ascii="Century Gothic" w:hAnsi="Century Gothic"/>
                <w:sz w:val="20"/>
              </w:rPr>
              <w:t>6</w:t>
            </w:r>
            <w:r w:rsidRPr="00E8358A">
              <w:rPr>
                <w:rFonts w:ascii="Century Gothic" w:hAnsi="Century Gothic"/>
                <w:sz w:val="20"/>
              </w:rPr>
              <w:t xml:space="preserve">)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aprilie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202</w:t>
            </w:r>
            <w:r>
              <w:rPr>
                <w:rFonts w:ascii="Century Gothic" w:hAnsi="Century Gothic"/>
                <w:sz w:val="20"/>
              </w:rPr>
              <w:t>4</w:t>
            </w:r>
            <w:r w:rsidRPr="00E8358A">
              <w:rPr>
                <w:rFonts w:ascii="Century Gothic" w:hAnsi="Century Gothic"/>
                <w:sz w:val="20"/>
              </w:rPr>
              <w:t>,</w:t>
            </w:r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prin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care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se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propune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aprobarea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schimbării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destinaţiei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sumei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de 20.527.964 RON din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alte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rezerve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şi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distribuirea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acestei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sume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dividende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către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acţionari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respectiv</w:t>
            </w:r>
            <w:proofErr w:type="spellEnd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0,0737909 RON brut/</w:t>
            </w:r>
            <w:proofErr w:type="spellStart"/>
            <w:r w:rsidR="00DE39C9" w:rsidRP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acţiune</w:t>
            </w:r>
            <w:proofErr w:type="spellEnd"/>
            <w:r w:rsidR="00DE39C9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.</w:t>
            </w:r>
          </w:p>
          <w:p w14:paraId="479FC814" w14:textId="77777777" w:rsidR="00E8358A" w:rsidRPr="00E8358A" w:rsidRDefault="00E8358A" w:rsidP="00E8358A">
            <w:pPr>
              <w:pStyle w:val="BodyText"/>
              <w:spacing w:before="9"/>
              <w:ind w:left="-18"/>
              <w:rPr>
                <w:rFonts w:ascii="Century Gothic" w:hAnsi="Century Gothic"/>
                <w:sz w:val="19"/>
              </w:rPr>
            </w:pPr>
          </w:p>
          <w:p w14:paraId="57CB8214" w14:textId="77777777" w:rsidR="00E8358A" w:rsidRPr="00E8358A" w:rsidRDefault="00E8358A" w:rsidP="00E835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04"/>
              </w:tabs>
              <w:autoSpaceDE w:val="0"/>
              <w:autoSpaceDN w:val="0"/>
              <w:spacing w:after="0" w:line="240" w:lineRule="auto"/>
              <w:ind w:left="-108" w:right="4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8358A">
              <w:rPr>
                <w:rFonts w:ascii="Century Gothic" w:hAnsi="Century Gothic"/>
                <w:sz w:val="20"/>
              </w:rPr>
              <w:t xml:space="preserve">Conform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prevederilor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Actului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constitutiv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al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 xml:space="preserve">Rompetrol Well Services,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toate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ac</w:t>
            </w:r>
            <w:r w:rsidRPr="00E8358A">
              <w:rPr>
                <w:rFonts w:ascii="Calibri" w:hAnsi="Calibri" w:cs="Calibri"/>
                <w:w w:val="95"/>
                <w:sz w:val="20"/>
              </w:rPr>
              <w:t>ț</w:t>
            </w:r>
            <w:r w:rsidRPr="00E8358A">
              <w:rPr>
                <w:rFonts w:ascii="Century Gothic" w:hAnsi="Century Gothic"/>
                <w:w w:val="95"/>
                <w:sz w:val="20"/>
              </w:rPr>
              <w:t>iunile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emise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de</w:t>
            </w:r>
            <w:r w:rsidRPr="00E8358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Rompetrol</w:t>
            </w:r>
            <w:r w:rsidRPr="00E8358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Well</w:t>
            </w:r>
            <w:r w:rsidRPr="00E8358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Services</w:t>
            </w:r>
            <w:r w:rsidRPr="00E8358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au</w:t>
            </w:r>
            <w:r w:rsidRPr="00E8358A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dreptul</w:t>
            </w:r>
            <w:proofErr w:type="spellEnd"/>
            <w:r w:rsidRPr="00E8358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la</w:t>
            </w:r>
            <w:r w:rsidRPr="00E8358A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un</w:t>
            </w:r>
            <w:r w:rsidRPr="00E8358A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dividend</w:t>
            </w:r>
            <w:r w:rsidRPr="00E8358A">
              <w:rPr>
                <w:rFonts w:ascii="Century Gothic" w:hAnsi="Century Gothic"/>
                <w:spacing w:val="-65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egal;</w:t>
            </w:r>
          </w:p>
          <w:p w14:paraId="354A18CD" w14:textId="77777777" w:rsidR="00E8358A" w:rsidRDefault="00E8358A" w:rsidP="00E8358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34"/>
              </w:tabs>
              <w:autoSpaceDE w:val="0"/>
              <w:autoSpaceDN w:val="0"/>
              <w:spacing w:before="5" w:after="0" w:line="240" w:lineRule="auto"/>
              <w:ind w:left="-108" w:right="39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E8358A">
              <w:rPr>
                <w:rFonts w:ascii="Century Gothic" w:hAnsi="Century Gothic"/>
                <w:sz w:val="20"/>
              </w:rPr>
              <w:t>Distribuirea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dividendelor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se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va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face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propor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ional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cu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participa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ia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inută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fiecare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ionar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capitalul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social al Rompetrol Well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 xml:space="preserve">Services, conform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prevederilor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art. 67 din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Legea</w:t>
            </w:r>
            <w:proofErr w:type="spellEnd"/>
            <w:r w:rsidRPr="00E8358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societă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ilor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nr.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31/1990,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republicată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>.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conformitate</w:t>
            </w:r>
            <w:proofErr w:type="spellEnd"/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cu</w:t>
            </w:r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prevederile</w:t>
            </w:r>
            <w:proofErr w:type="spellEnd"/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art.</w:t>
            </w:r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86</w:t>
            </w:r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alin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>.</w:t>
            </w:r>
            <w:r w:rsidRPr="00E8358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(1)</w:t>
            </w:r>
            <w:r w:rsidRPr="00E8358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din</w:t>
            </w:r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Legea</w:t>
            </w:r>
            <w:proofErr w:type="spellEnd"/>
            <w:r w:rsidRPr="00E8358A">
              <w:rPr>
                <w:rFonts w:ascii="Century Gothic" w:hAnsi="Century Gothic"/>
                <w:w w:val="90"/>
                <w:sz w:val="20"/>
              </w:rPr>
              <w:t xml:space="preserve"> nr. 24/2017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privind</w:t>
            </w:r>
            <w:proofErr w:type="spellEnd"/>
            <w:r w:rsidRPr="00E8358A">
              <w:rPr>
                <w:rFonts w:ascii="Century Gothic" w:hAnsi="Century Gothic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emiten</w:t>
            </w:r>
            <w:r w:rsidRPr="00E8358A">
              <w:rPr>
                <w:rFonts w:ascii="Calibri" w:hAnsi="Calibri" w:cs="Calibri"/>
                <w:w w:val="90"/>
                <w:sz w:val="20"/>
              </w:rPr>
              <w:t>ț</w:t>
            </w:r>
            <w:r w:rsidRPr="00E8358A">
              <w:rPr>
                <w:rFonts w:ascii="Century Gothic" w:hAnsi="Century Gothic"/>
                <w:w w:val="90"/>
                <w:sz w:val="20"/>
              </w:rPr>
              <w:t>ii</w:t>
            </w:r>
            <w:proofErr w:type="spellEnd"/>
            <w:r w:rsidRPr="00E8358A">
              <w:rPr>
                <w:rFonts w:ascii="Century Gothic" w:hAnsi="Century Gothic"/>
                <w:w w:val="90"/>
                <w:sz w:val="20"/>
              </w:rPr>
              <w:t xml:space="preserve"> de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instrumente</w:t>
            </w:r>
            <w:proofErr w:type="spellEnd"/>
            <w:r w:rsidRPr="00E8358A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financiare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şi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opera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iuni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pia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ă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>,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ionarii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îndreptă</w:t>
            </w:r>
            <w:r w:rsidRPr="00E8358A">
              <w:rPr>
                <w:rFonts w:ascii="Calibri" w:hAnsi="Calibri" w:cs="Calibri"/>
                <w:w w:val="95"/>
                <w:sz w:val="20"/>
              </w:rPr>
              <w:t>ț</w:t>
            </w:r>
            <w:r w:rsidRPr="00E8358A">
              <w:rPr>
                <w:rFonts w:ascii="Century Gothic" w:hAnsi="Century Gothic"/>
                <w:w w:val="95"/>
                <w:sz w:val="20"/>
              </w:rPr>
              <w:t>i</w:t>
            </w:r>
            <w:r w:rsidRPr="00E8358A">
              <w:rPr>
                <w:rFonts w:ascii="Calibri" w:hAnsi="Calibri" w:cs="Calibri"/>
                <w:w w:val="95"/>
                <w:sz w:val="20"/>
              </w:rPr>
              <w:t>ț</w:t>
            </w:r>
            <w:r w:rsidRPr="00E8358A">
              <w:rPr>
                <w:rFonts w:ascii="Century Gothic" w:hAnsi="Century Gothic"/>
                <w:w w:val="95"/>
                <w:sz w:val="20"/>
              </w:rPr>
              <w:t>i</w:t>
            </w:r>
            <w:proofErr w:type="spellEnd"/>
            <w:r w:rsidRPr="00E8358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să</w:t>
            </w:r>
            <w:proofErr w:type="spellEnd"/>
            <w:r w:rsidRPr="00E8358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încaseze</w:t>
            </w:r>
            <w:proofErr w:type="spellEnd"/>
            <w:r w:rsidRPr="00E8358A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dividende</w:t>
            </w:r>
            <w:proofErr w:type="spellEnd"/>
            <w:r w:rsidRPr="00E8358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vor</w:t>
            </w:r>
            <w:proofErr w:type="spellEnd"/>
            <w:r w:rsidRPr="00E8358A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fi</w:t>
            </w:r>
            <w:r w:rsidRPr="00E8358A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cei</w:t>
            </w:r>
            <w:proofErr w:type="spellEnd"/>
            <w:r w:rsidRPr="00E8358A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înscri</w:t>
            </w:r>
            <w:r w:rsidRPr="00E8358A">
              <w:rPr>
                <w:rFonts w:ascii="Calibri" w:hAnsi="Calibri" w:cs="Calibri"/>
                <w:w w:val="95"/>
                <w:sz w:val="20"/>
              </w:rPr>
              <w:t>ș</w:t>
            </w:r>
            <w:r w:rsidRPr="00E8358A">
              <w:rPr>
                <w:rFonts w:ascii="Century Gothic" w:hAnsi="Century Gothic"/>
                <w:w w:val="95"/>
                <w:sz w:val="20"/>
              </w:rPr>
              <w:t>i</w:t>
            </w:r>
            <w:proofErr w:type="spellEnd"/>
            <w:r w:rsidRPr="00E8358A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Registrul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ac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ionarilor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 xml:space="preserve"> la data de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înregistrare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stabilită</w:t>
            </w:r>
            <w:proofErr w:type="spellEnd"/>
            <w:r w:rsidRPr="00E8358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 w:rsidRPr="00E8358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AGAO</w:t>
            </w:r>
            <w:r w:rsidRPr="00E8358A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;</w:t>
            </w:r>
          </w:p>
          <w:p w14:paraId="32FD1A23" w14:textId="42503944" w:rsidR="00E8358A" w:rsidRPr="00E8358A" w:rsidRDefault="00E8358A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8358A">
              <w:rPr>
                <w:rFonts w:ascii="Century Gothic" w:hAnsi="Century Gothic"/>
                <w:w w:val="90"/>
                <w:sz w:val="20"/>
              </w:rPr>
              <w:t>Data de</w:t>
            </w:r>
            <w:r w:rsidRPr="00E8358A">
              <w:rPr>
                <w:rFonts w:ascii="Century Gothic" w:hAnsi="Century Gothic"/>
                <w:spacing w:val="4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înregistrare</w:t>
            </w:r>
            <w:proofErr w:type="spellEnd"/>
            <w:r w:rsidRPr="00E8358A">
              <w:rPr>
                <w:rFonts w:ascii="Century Gothic" w:hAnsi="Century Gothic"/>
                <w:spacing w:val="-1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propusă</w:t>
            </w:r>
            <w:proofErr w:type="spellEnd"/>
            <w:r w:rsidRPr="00E8358A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este</w:t>
            </w:r>
            <w:proofErr w:type="spellEnd"/>
            <w:r w:rsidRPr="00E8358A">
              <w:rPr>
                <w:rFonts w:ascii="Century Gothic" w:hAnsi="Century Gothic"/>
                <w:w w:val="90"/>
                <w:sz w:val="20"/>
              </w:rPr>
              <w:t>:</w:t>
            </w:r>
            <w:r w:rsidRPr="00E8358A">
              <w:rPr>
                <w:rFonts w:ascii="Century Gothic" w:hAnsi="Century Gothic"/>
                <w:spacing w:val="4"/>
                <w:w w:val="90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0"/>
                <w:sz w:val="20"/>
              </w:rPr>
              <w:t>2</w:t>
            </w:r>
            <w:r>
              <w:rPr>
                <w:rFonts w:ascii="Century Gothic" w:hAnsi="Century Gothic"/>
                <w:w w:val="90"/>
                <w:sz w:val="20"/>
              </w:rPr>
              <w:t>6</w:t>
            </w:r>
            <w:r w:rsidRPr="00E8358A">
              <w:rPr>
                <w:rFonts w:ascii="Century Gothic" w:hAnsi="Century Gothic"/>
                <w:spacing w:val="-1"/>
                <w:w w:val="9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0"/>
                <w:sz w:val="20"/>
              </w:rPr>
              <w:t>iunie</w:t>
            </w:r>
            <w:proofErr w:type="spellEnd"/>
            <w:r w:rsidRPr="00E8358A">
              <w:rPr>
                <w:rFonts w:ascii="Century Gothic" w:hAnsi="Century Gothic"/>
                <w:spacing w:val="4"/>
                <w:w w:val="90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0"/>
                <w:sz w:val="20"/>
              </w:rPr>
              <w:t>202</w:t>
            </w:r>
            <w:r>
              <w:rPr>
                <w:rFonts w:ascii="Century Gothic" w:hAnsi="Century Gothic"/>
                <w:w w:val="90"/>
                <w:sz w:val="20"/>
              </w:rPr>
              <w:t>4</w:t>
            </w:r>
            <w:r w:rsidRPr="00E8358A">
              <w:rPr>
                <w:rFonts w:ascii="Century Gothic" w:hAnsi="Century Gothic"/>
                <w:w w:val="90"/>
                <w:sz w:val="20"/>
              </w:rPr>
              <w:t>;</w:t>
            </w:r>
          </w:p>
          <w:p w14:paraId="679584C5" w14:textId="323BB014" w:rsidR="00E8358A" w:rsidRPr="00E8358A" w:rsidRDefault="00E8358A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5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8358A">
              <w:rPr>
                <w:rFonts w:ascii="Century Gothic" w:hAnsi="Century Gothic"/>
                <w:sz w:val="20"/>
              </w:rPr>
              <w:t>Data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propusă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pentru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plata</w:t>
            </w:r>
            <w:proofErr w:type="spellEnd"/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dividendelor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>:</w:t>
            </w:r>
            <w:r w:rsidRPr="00E8358A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începând</w:t>
            </w:r>
            <w:proofErr w:type="spellEnd"/>
            <w:r w:rsidRPr="00E8358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cu</w:t>
            </w:r>
            <w:r w:rsidRPr="00E8358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12</w:t>
            </w:r>
            <w:r w:rsidRPr="00E8358A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iulie</w:t>
            </w:r>
            <w:proofErr w:type="spellEnd"/>
            <w:r w:rsidRPr="00E8358A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w w:val="95"/>
                <w:sz w:val="20"/>
              </w:rPr>
              <w:t>202</w:t>
            </w:r>
            <w:r>
              <w:rPr>
                <w:rFonts w:ascii="Century Gothic" w:hAnsi="Century Gothic"/>
                <w:w w:val="95"/>
                <w:sz w:val="20"/>
              </w:rPr>
              <w:t>4</w:t>
            </w:r>
            <w:r w:rsidRPr="00E8358A">
              <w:rPr>
                <w:rFonts w:ascii="Century Gothic" w:hAnsi="Century Gothic"/>
                <w:w w:val="95"/>
                <w:sz w:val="20"/>
              </w:rPr>
              <w:t>;</w:t>
            </w:r>
          </w:p>
          <w:p w14:paraId="3FC04AC9" w14:textId="58233063" w:rsidR="00E8358A" w:rsidRPr="00E8358A" w:rsidRDefault="00E8358A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52"/>
                <w:tab w:val="left" w:pos="1947"/>
                <w:tab w:val="left" w:pos="2931"/>
                <w:tab w:val="left" w:pos="3883"/>
                <w:tab w:val="left" w:pos="4601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>
              <w:br w:type="column"/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Distribuirea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dividendelor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se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va</w:t>
            </w:r>
            <w:proofErr w:type="spellEnd"/>
            <w:r w:rsidRPr="00E8358A">
              <w:rPr>
                <w:rFonts w:ascii="Century Gothic" w:hAnsi="Century Gothic"/>
                <w:w w:val="95"/>
                <w:sz w:val="20"/>
              </w:rPr>
              <w:t xml:space="preserve"> face </w:t>
            </w:r>
            <w:proofErr w:type="spellStart"/>
            <w:r w:rsidRPr="00E8358A">
              <w:rPr>
                <w:rFonts w:ascii="Century Gothic" w:hAnsi="Century Gothic"/>
                <w:w w:val="95"/>
                <w:sz w:val="20"/>
              </w:rPr>
              <w:t>utilizând</w:t>
            </w:r>
            <w:proofErr w:type="spellEnd"/>
            <w:r w:rsidRPr="00E8358A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serviciile</w:t>
            </w:r>
            <w:proofErr w:type="spellEnd"/>
            <w:r w:rsidRPr="00E8358A">
              <w:rPr>
                <w:rFonts w:ascii="Century Gothic" w:hAnsi="Century Gothic"/>
                <w:spacing w:val="50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Depozitarului</w:t>
            </w:r>
            <w:proofErr w:type="spellEnd"/>
            <w:r w:rsidRPr="00E8358A">
              <w:rPr>
                <w:rFonts w:ascii="Century Gothic" w:hAnsi="Century Gothic"/>
                <w:spacing w:val="5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Central,</w:t>
            </w:r>
            <w:r w:rsidRPr="00E8358A">
              <w:rPr>
                <w:rFonts w:ascii="Century Gothic" w:hAnsi="Century Gothic"/>
                <w:spacing w:val="50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conform</w:t>
            </w:r>
            <w:r w:rsidRPr="00E8358A">
              <w:rPr>
                <w:rFonts w:ascii="Century Gothic" w:hAnsi="Century Gothic"/>
                <w:spacing w:val="53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unei</w:t>
            </w:r>
            <w:proofErr w:type="spellEnd"/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proceduri</w:t>
            </w:r>
            <w:proofErr w:type="spellEnd"/>
            <w:r w:rsidRPr="00E8358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care</w:t>
            </w:r>
            <w:r w:rsidRPr="00E8358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va</w:t>
            </w:r>
            <w:proofErr w:type="spellEnd"/>
            <w:r w:rsidRPr="00E8358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fi</w:t>
            </w:r>
            <w:r w:rsidRPr="00E8358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publicată</w:t>
            </w:r>
            <w:proofErr w:type="spellEnd"/>
            <w:r w:rsidRPr="00E8358A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pe</w:t>
            </w:r>
            <w:r w:rsidRPr="00E8358A">
              <w:rPr>
                <w:rFonts w:ascii="Century Gothic" w:hAnsi="Century Gothic"/>
                <w:spacing w:val="62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website-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ul</w:t>
            </w:r>
            <w:proofErr w:type="spellEnd"/>
            <w:r w:rsidRPr="00E8358A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Rompetrol</w:t>
            </w:r>
            <w:r w:rsidR="00FB534C">
              <w:rPr>
                <w:rFonts w:ascii="Century Gothic" w:hAnsi="Century Gothic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Well</w:t>
            </w:r>
            <w:r w:rsidR="00FB534C">
              <w:rPr>
                <w:rFonts w:ascii="Century Gothic" w:hAnsi="Century Gothic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Services</w:t>
            </w:r>
            <w:r w:rsidR="00FB534C">
              <w:rPr>
                <w:rFonts w:ascii="Century Gothic" w:hAnsi="Century Gothic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anterior</w:t>
            </w:r>
            <w:r w:rsidR="00FB534C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datei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de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începere</w:t>
            </w:r>
            <w:proofErr w:type="spellEnd"/>
            <w:r w:rsidRPr="00E8358A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sz w:val="20"/>
              </w:rPr>
              <w:t>a</w:t>
            </w:r>
            <w:r w:rsidRPr="00E8358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plă</w:t>
            </w:r>
            <w:r w:rsidRPr="00E8358A">
              <w:rPr>
                <w:rFonts w:ascii="Calibri" w:hAnsi="Calibri" w:cs="Calibri"/>
                <w:sz w:val="20"/>
              </w:rPr>
              <w:t>ț</w:t>
            </w:r>
            <w:r w:rsidRPr="00E8358A">
              <w:rPr>
                <w:rFonts w:ascii="Century Gothic" w:hAnsi="Century Gothic"/>
                <w:sz w:val="20"/>
              </w:rPr>
              <w:t>ii</w:t>
            </w:r>
            <w:proofErr w:type="spellEnd"/>
            <w:r w:rsidRPr="00E8358A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sz w:val="20"/>
              </w:rPr>
              <w:t>dividendelor</w:t>
            </w:r>
            <w:proofErr w:type="spellEnd"/>
            <w:r w:rsidRPr="00E8358A">
              <w:rPr>
                <w:rFonts w:ascii="Century Gothic" w:hAnsi="Century Gothic"/>
                <w:sz w:val="20"/>
              </w:rPr>
              <w:t>.</w:t>
            </w:r>
          </w:p>
          <w:p w14:paraId="4F01D3F7" w14:textId="77777777" w:rsidR="00E8358A" w:rsidRPr="00E8358A" w:rsidRDefault="00E8358A" w:rsidP="00FB534C">
            <w:pPr>
              <w:pStyle w:val="BodyText"/>
              <w:rPr>
                <w:rFonts w:ascii="Century Gothic" w:hAnsi="Century Gothic"/>
                <w:sz w:val="24"/>
              </w:rPr>
            </w:pPr>
          </w:p>
          <w:p w14:paraId="142D877F" w14:textId="2C318B02" w:rsidR="00E8358A" w:rsidRPr="00E8358A" w:rsidRDefault="00E8358A" w:rsidP="00DE39C9">
            <w:pPr>
              <w:ind w:left="-108"/>
              <w:jc w:val="both"/>
              <w:rPr>
                <w:rFonts w:ascii="Century Gothic" w:hAnsi="Century Gothic"/>
                <w:i/>
                <w:sz w:val="20"/>
              </w:rPr>
            </w:pP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lastRenderedPageBreak/>
              <w:t>Prin</w:t>
            </w:r>
            <w:proofErr w:type="spellEnd"/>
            <w:r w:rsidRPr="00E8358A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urmare</w:t>
            </w:r>
            <w:proofErr w:type="spellEnd"/>
            <w:r w:rsidRPr="00E8358A">
              <w:rPr>
                <w:rFonts w:ascii="Century Gothic" w:hAnsi="Century Gothic"/>
                <w:i/>
                <w:sz w:val="20"/>
              </w:rPr>
              <w:t xml:space="preserve">, se 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propune</w:t>
            </w:r>
            <w:proofErr w:type="spellEnd"/>
            <w:r w:rsidRPr="00E8358A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aprobarea</w:t>
            </w:r>
            <w:proofErr w:type="spellEnd"/>
            <w:r w:rsidRPr="00E8358A">
              <w:rPr>
                <w:rFonts w:ascii="Century Gothic" w:hAnsi="Century Gothic"/>
                <w:i/>
                <w:sz w:val="20"/>
              </w:rPr>
              <w:t xml:space="preserve"> de 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către</w:t>
            </w:r>
            <w:proofErr w:type="spellEnd"/>
            <w:r w:rsidRPr="00E8358A">
              <w:rPr>
                <w:rFonts w:ascii="Century Gothic" w:hAnsi="Century Gothic"/>
                <w:i/>
                <w:spacing w:val="1"/>
                <w:sz w:val="20"/>
              </w:rPr>
              <w:t xml:space="preserve"> </w:t>
            </w:r>
            <w:r w:rsidRPr="00E8358A">
              <w:rPr>
                <w:rFonts w:ascii="Century Gothic" w:hAnsi="Century Gothic"/>
                <w:i/>
                <w:sz w:val="20"/>
              </w:rPr>
              <w:t>AGOA RWS din 2</w:t>
            </w:r>
            <w:r w:rsidRPr="00E8358A">
              <w:rPr>
                <w:rFonts w:ascii="Century Gothic" w:hAnsi="Century Gothic"/>
                <w:i/>
                <w:sz w:val="20"/>
              </w:rPr>
              <w:t>5</w:t>
            </w:r>
            <w:r w:rsidRPr="00E8358A">
              <w:rPr>
                <w:rFonts w:ascii="Century Gothic" w:hAnsi="Century Gothic"/>
                <w:i/>
                <w:sz w:val="20"/>
              </w:rPr>
              <w:t xml:space="preserve"> a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prilie</w:t>
            </w:r>
            <w:proofErr w:type="spellEnd"/>
            <w:r w:rsidRPr="00E8358A">
              <w:rPr>
                <w:rFonts w:ascii="Century Gothic" w:hAnsi="Century Gothic"/>
                <w:i/>
                <w:sz w:val="20"/>
              </w:rPr>
              <w:t xml:space="preserve"> 202</w:t>
            </w:r>
            <w:r w:rsidRPr="00E8358A">
              <w:rPr>
                <w:rFonts w:ascii="Century Gothic" w:hAnsi="Century Gothic"/>
                <w:i/>
                <w:sz w:val="20"/>
              </w:rPr>
              <w:t>4</w:t>
            </w:r>
            <w:r w:rsidRPr="00E8358A">
              <w:rPr>
                <w:rFonts w:ascii="Century Gothic" w:hAnsi="Century Gothic"/>
                <w:i/>
                <w:sz w:val="20"/>
              </w:rPr>
              <w:t xml:space="preserve"> a </w:t>
            </w:r>
            <w:proofErr w:type="spellStart"/>
            <w:r w:rsidRPr="00E8358A">
              <w:rPr>
                <w:rFonts w:ascii="Century Gothic" w:hAnsi="Century Gothic"/>
                <w:i/>
                <w:sz w:val="20"/>
              </w:rPr>
              <w:t>schimbării</w:t>
            </w:r>
            <w:proofErr w:type="spellEnd"/>
            <w:r w:rsidRPr="00E8358A">
              <w:rPr>
                <w:rFonts w:ascii="Century Gothic" w:hAnsi="Century Gothic"/>
                <w:i/>
                <w:spacing w:val="1"/>
                <w:sz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destinaţiei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sumei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de 20.527.964 RON din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alte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rezerve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distribuirea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acestei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sume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dividende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către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acţionari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respectiv</w:t>
            </w:r>
            <w:proofErr w:type="spellEnd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 xml:space="preserve"> 0,0737909 RON brut/</w:t>
            </w:r>
            <w:proofErr w:type="spellStart"/>
            <w:r w:rsidR="00DE39C9" w:rsidRPr="00DE39C9">
              <w:rPr>
                <w:rFonts w:ascii="Century Gothic" w:eastAsia="Times New Roman" w:hAnsi="Century Gothic"/>
                <w:i/>
                <w:iCs/>
                <w:color w:val="000000"/>
                <w:sz w:val="20"/>
                <w:szCs w:val="20"/>
              </w:rPr>
              <w:t>acţiune</w:t>
            </w:r>
            <w:proofErr w:type="spellEnd"/>
            <w:r w:rsidR="00DE39C9" w:rsidRPr="00FB534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w w:val="90"/>
                <w:sz w:val="20"/>
              </w:rPr>
              <w:t>.</w:t>
            </w:r>
          </w:p>
          <w:p w14:paraId="28070571" w14:textId="34365930" w:rsidR="00622A70" w:rsidRPr="00092334" w:rsidRDefault="00622A70" w:rsidP="00FB534C">
            <w:pPr>
              <w:pStyle w:val="ListParagraph"/>
              <w:spacing w:after="0" w:line="240" w:lineRule="auto"/>
              <w:ind w:left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40853FE" w14:textId="77777777" w:rsidR="00092334" w:rsidRPr="00092334" w:rsidRDefault="00092334" w:rsidP="00092334">
            <w:pPr>
              <w:pStyle w:val="ListParagraph"/>
              <w:spacing w:after="0" w:line="240" w:lineRule="auto"/>
              <w:ind w:left="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74576B7" w14:textId="15A4A325" w:rsidR="00622A70" w:rsidRPr="00092334" w:rsidRDefault="00622A70" w:rsidP="00092334">
            <w:pPr>
              <w:tabs>
                <w:tab w:val="num" w:pos="1418"/>
              </w:tabs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092334">
              <w:rPr>
                <w:rFonts w:ascii="Century Gothic" w:hAnsi="Century Gothic"/>
                <w:bCs/>
                <w:sz w:val="20"/>
                <w:szCs w:val="20"/>
              </w:rPr>
              <w:t xml:space="preserve">         </w:t>
            </w:r>
          </w:p>
          <w:p w14:paraId="1B93EB7E" w14:textId="77777777" w:rsidR="00D603CB" w:rsidRPr="00092334" w:rsidRDefault="00D603CB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>Director General/General Manager</w:t>
            </w:r>
          </w:p>
          <w:p w14:paraId="14BE00C4" w14:textId="308EF603" w:rsidR="00D603CB" w:rsidRPr="00092334" w:rsidRDefault="00D603CB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 xml:space="preserve">Georgian </w:t>
            </w:r>
            <w:r w:rsidR="00417FFE"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 xml:space="preserve">Stefan </w:t>
            </w: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>Florea</w:t>
            </w:r>
          </w:p>
          <w:p w14:paraId="58301753" w14:textId="77777777" w:rsidR="00D603CB" w:rsidRPr="00092334" w:rsidRDefault="00D603CB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</w:p>
          <w:p w14:paraId="3571B645" w14:textId="77777777" w:rsidR="004C0415" w:rsidRPr="00092334" w:rsidRDefault="004C0415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</w:p>
          <w:p w14:paraId="449EEBB3" w14:textId="77777777" w:rsidR="004C0415" w:rsidRPr="00092334" w:rsidRDefault="004C0415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br/>
            </w:r>
          </w:p>
          <w:p w14:paraId="6539F742" w14:textId="77777777" w:rsidR="004C0415" w:rsidRPr="00092334" w:rsidRDefault="004C0415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</w:p>
          <w:p w14:paraId="64CD33E5" w14:textId="77777777" w:rsidR="004C0415" w:rsidRPr="00092334" w:rsidRDefault="004C0415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</w:p>
          <w:p w14:paraId="49E8D96B" w14:textId="7C6B34D2" w:rsidR="004C0415" w:rsidRPr="00092334" w:rsidRDefault="004C0415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978" w:type="dxa"/>
            <w:shd w:val="clear" w:color="auto" w:fill="auto"/>
          </w:tcPr>
          <w:p w14:paraId="688F3E83" w14:textId="77777777" w:rsidR="00092334" w:rsidRDefault="00092334" w:rsidP="00092334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</w:pPr>
          </w:p>
          <w:p w14:paraId="04E9C1AE" w14:textId="7128D777" w:rsidR="00622A70" w:rsidRPr="00092334" w:rsidRDefault="00622A70" w:rsidP="00092334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</w:pPr>
            <w:r w:rsidRPr="0009233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  <w:t>Note 2</w:t>
            </w:r>
            <w:r w:rsidR="00DE39C9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Pr="0009233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  <w:t xml:space="preserve"> OGMS</w:t>
            </w:r>
          </w:p>
          <w:p w14:paraId="16B7E197" w14:textId="77777777" w:rsidR="00622A70" w:rsidRPr="00092334" w:rsidRDefault="00622A70" w:rsidP="00092334">
            <w:pPr>
              <w:jc w:val="both"/>
              <w:rPr>
                <w:rFonts w:ascii="Century Gothic" w:eastAsia="Times New Roman" w:hAnsi="Century Gothic"/>
                <w:bCs/>
                <w:sz w:val="20"/>
                <w:szCs w:val="20"/>
                <w:lang w:val="en-GB"/>
              </w:rPr>
            </w:pPr>
          </w:p>
          <w:p w14:paraId="0CF88FB8" w14:textId="77777777" w:rsidR="00DE39C9" w:rsidRDefault="00DE39C9" w:rsidP="00DE39C9">
            <w:pPr>
              <w:pStyle w:val="Default"/>
              <w:jc w:val="both"/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DE39C9"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  <w:lang w:val="ro-RO"/>
              </w:rPr>
              <w:t>A</w:t>
            </w:r>
            <w:proofErr w:type="spellStart"/>
            <w:r w:rsidRPr="00DE39C9"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</w:rPr>
              <w:t>pproval</w:t>
            </w:r>
            <w:proofErr w:type="spellEnd"/>
            <w:r w:rsidRPr="00DE39C9"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</w:rPr>
              <w:t xml:space="preserve"> of the changing of destination of the amount of RON 20,527,964 from other reserves and the distribution of this amount as dividend to the shareholders, namely RON 0.0737909 gross/share</w:t>
            </w:r>
            <w:r w:rsidRPr="00DE39C9"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  <w:lang w:eastAsia="en-GB"/>
              </w:rPr>
              <w:t>.</w:t>
            </w:r>
          </w:p>
          <w:p w14:paraId="634F3192" w14:textId="77777777" w:rsidR="00DE39C9" w:rsidRPr="00DE39C9" w:rsidRDefault="00DE39C9" w:rsidP="00DE39C9">
            <w:pPr>
              <w:pStyle w:val="Default"/>
              <w:jc w:val="both"/>
              <w:rPr>
                <w:rFonts w:ascii="Century Gothic" w:hAnsi="Century Gothic" w:cs="Times New Roman"/>
                <w:i/>
                <w:iCs/>
                <w:sz w:val="20"/>
                <w:szCs w:val="20"/>
                <w:u w:val="single"/>
                <w:lang w:eastAsia="en-GB"/>
              </w:rPr>
            </w:pPr>
          </w:p>
          <w:p w14:paraId="51D74A7B" w14:textId="77777777" w:rsidR="004F3F50" w:rsidRPr="00DE39C9" w:rsidRDefault="004F3F50" w:rsidP="004F3F50">
            <w:pPr>
              <w:pStyle w:val="BodyText"/>
              <w:spacing w:before="100"/>
              <w:ind w:left="-29"/>
              <w:rPr>
                <w:rFonts w:ascii="Century Gothic" w:hAnsi="Century Gothic"/>
              </w:rPr>
            </w:pPr>
            <w:r w:rsidRPr="00DE39C9">
              <w:rPr>
                <w:rFonts w:ascii="Century Gothic" w:hAnsi="Century Gothic"/>
                <w:spacing w:val="-1"/>
                <w:w w:val="68"/>
              </w:rPr>
              <w:t>T</w:t>
            </w:r>
            <w:r w:rsidRPr="00DE39C9">
              <w:rPr>
                <w:rFonts w:ascii="Century Gothic" w:hAnsi="Century Gothic"/>
                <w:w w:val="113"/>
              </w:rPr>
              <w:t>a</w:t>
            </w:r>
            <w:r w:rsidRPr="00DE39C9">
              <w:rPr>
                <w:rFonts w:ascii="Century Gothic" w:hAnsi="Century Gothic"/>
                <w:spacing w:val="1"/>
                <w:w w:val="84"/>
              </w:rPr>
              <w:t>k</w:t>
            </w:r>
            <w:r w:rsidRPr="00DE39C9">
              <w:rPr>
                <w:rFonts w:ascii="Century Gothic" w:hAnsi="Century Gothic"/>
                <w:spacing w:val="1"/>
                <w:w w:val="72"/>
              </w:rPr>
              <w:t>i</w:t>
            </w:r>
            <w:r w:rsidRPr="00DE39C9">
              <w:rPr>
                <w:rFonts w:ascii="Century Gothic" w:hAnsi="Century Gothic"/>
                <w:spacing w:val="1"/>
                <w:w w:val="95"/>
              </w:rPr>
              <w:t>n</w:t>
            </w:r>
            <w:r w:rsidRPr="00DE39C9">
              <w:rPr>
                <w:rFonts w:ascii="Century Gothic" w:hAnsi="Century Gothic"/>
                <w:w w:val="107"/>
              </w:rPr>
              <w:t>g</w:t>
            </w:r>
            <w:r w:rsidRPr="00DE39C9">
              <w:rPr>
                <w:rFonts w:ascii="Century Gothic" w:hAnsi="Century Gothic"/>
                <w:spacing w:val="5"/>
              </w:rPr>
              <w:t xml:space="preserve"> </w:t>
            </w:r>
            <w:r w:rsidRPr="00DE39C9">
              <w:rPr>
                <w:rFonts w:ascii="Century Gothic" w:hAnsi="Century Gothic"/>
                <w:spacing w:val="1"/>
                <w:w w:val="72"/>
              </w:rPr>
              <w:t>i</w:t>
            </w:r>
            <w:r w:rsidRPr="00DE39C9">
              <w:rPr>
                <w:rFonts w:ascii="Century Gothic" w:hAnsi="Century Gothic"/>
                <w:spacing w:val="1"/>
                <w:w w:val="95"/>
              </w:rPr>
              <w:t>n</w:t>
            </w:r>
            <w:r w:rsidRPr="00DE39C9">
              <w:rPr>
                <w:rFonts w:ascii="Century Gothic" w:hAnsi="Century Gothic"/>
                <w:spacing w:val="-1"/>
                <w:w w:val="85"/>
              </w:rPr>
              <w:t>t</w:t>
            </w:r>
            <w:r w:rsidRPr="00DE39C9">
              <w:rPr>
                <w:rFonts w:ascii="Century Gothic" w:hAnsi="Century Gothic"/>
                <w:w w:val="107"/>
              </w:rPr>
              <w:t>o</w:t>
            </w:r>
            <w:r w:rsidRPr="00DE39C9">
              <w:rPr>
                <w:rFonts w:ascii="Century Gothic" w:hAnsi="Century Gothic"/>
                <w:spacing w:val="4"/>
              </w:rPr>
              <w:t xml:space="preserve"> </w:t>
            </w:r>
            <w:r w:rsidRPr="00DE39C9">
              <w:rPr>
                <w:rFonts w:ascii="Century Gothic" w:hAnsi="Century Gothic"/>
                <w:w w:val="123"/>
              </w:rPr>
              <w:t>c</w:t>
            </w:r>
            <w:r w:rsidRPr="00DE39C9">
              <w:rPr>
                <w:rFonts w:ascii="Century Gothic" w:hAnsi="Century Gothic"/>
                <w:spacing w:val="-1"/>
                <w:w w:val="107"/>
              </w:rPr>
              <w:t>o</w:t>
            </w:r>
            <w:r w:rsidRPr="00DE39C9">
              <w:rPr>
                <w:rFonts w:ascii="Century Gothic" w:hAnsi="Century Gothic"/>
                <w:spacing w:val="1"/>
                <w:w w:val="95"/>
              </w:rPr>
              <w:t>n</w:t>
            </w:r>
            <w:r w:rsidRPr="00DE39C9">
              <w:rPr>
                <w:rFonts w:ascii="Century Gothic" w:hAnsi="Century Gothic"/>
                <w:spacing w:val="-1"/>
                <w:w w:val="74"/>
              </w:rPr>
              <w:t>s</w:t>
            </w:r>
            <w:r w:rsidRPr="00DE39C9">
              <w:rPr>
                <w:rFonts w:ascii="Century Gothic" w:hAnsi="Century Gothic"/>
                <w:spacing w:val="1"/>
                <w:w w:val="72"/>
              </w:rPr>
              <w:t>i</w:t>
            </w:r>
            <w:r w:rsidRPr="00DE39C9">
              <w:rPr>
                <w:rFonts w:ascii="Century Gothic" w:hAnsi="Century Gothic"/>
                <w:w w:val="109"/>
              </w:rPr>
              <w:t>d</w:t>
            </w:r>
            <w:r w:rsidRPr="00DE39C9">
              <w:rPr>
                <w:rFonts w:ascii="Century Gothic" w:hAnsi="Century Gothic"/>
                <w:w w:val="108"/>
              </w:rPr>
              <w:t>e</w:t>
            </w:r>
            <w:r w:rsidRPr="00DE39C9">
              <w:rPr>
                <w:rFonts w:ascii="Century Gothic" w:hAnsi="Century Gothic"/>
                <w:w w:val="70"/>
              </w:rPr>
              <w:t>r</w:t>
            </w:r>
            <w:r w:rsidRPr="00DE39C9">
              <w:rPr>
                <w:rFonts w:ascii="Century Gothic" w:hAnsi="Century Gothic"/>
                <w:w w:val="113"/>
              </w:rPr>
              <w:t>a</w:t>
            </w:r>
            <w:r w:rsidRPr="00DE39C9">
              <w:rPr>
                <w:rFonts w:ascii="Century Gothic" w:hAnsi="Century Gothic"/>
                <w:spacing w:val="-1"/>
                <w:w w:val="85"/>
              </w:rPr>
              <w:t>t</w:t>
            </w:r>
            <w:r w:rsidRPr="00DE39C9">
              <w:rPr>
                <w:rFonts w:ascii="Century Gothic" w:hAnsi="Century Gothic"/>
                <w:spacing w:val="1"/>
                <w:w w:val="72"/>
              </w:rPr>
              <w:t>i</w:t>
            </w:r>
            <w:r w:rsidRPr="00DE39C9">
              <w:rPr>
                <w:rFonts w:ascii="Century Gothic" w:hAnsi="Century Gothic"/>
                <w:spacing w:val="-1"/>
                <w:w w:val="107"/>
              </w:rPr>
              <w:t>o</w:t>
            </w:r>
            <w:r w:rsidRPr="00DE39C9">
              <w:rPr>
                <w:rFonts w:ascii="Century Gothic" w:hAnsi="Century Gothic"/>
                <w:spacing w:val="3"/>
                <w:w w:val="95"/>
              </w:rPr>
              <w:t>n</w:t>
            </w:r>
            <w:r w:rsidRPr="00DE39C9">
              <w:rPr>
                <w:rFonts w:ascii="Century Gothic" w:hAnsi="Century Gothic"/>
                <w:w w:val="60"/>
              </w:rPr>
              <w:t>:</w:t>
            </w:r>
          </w:p>
          <w:p w14:paraId="4B511F48" w14:textId="77777777" w:rsidR="004F3F50" w:rsidRDefault="004F3F50" w:rsidP="004F3F50">
            <w:pPr>
              <w:pStyle w:val="BodyText"/>
              <w:spacing w:before="3"/>
            </w:pPr>
          </w:p>
          <w:p w14:paraId="1C985712" w14:textId="77777777" w:rsidR="00DE39C9" w:rsidRPr="00DE39C9" w:rsidRDefault="00FB534C" w:rsidP="00DE39C9">
            <w:pPr>
              <w:pStyle w:val="Default"/>
              <w:jc w:val="both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DE39C9">
              <w:rPr>
                <w:rFonts w:ascii="Century Gothic" w:hAnsi="Century Gothic" w:cs="Times New Roman"/>
                <w:w w:val="90"/>
                <w:sz w:val="20"/>
              </w:rPr>
              <w:t>T</w:t>
            </w:r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>he request no. 10</w:t>
            </w:r>
            <w:r w:rsidRPr="00DE39C9">
              <w:rPr>
                <w:rFonts w:ascii="Century Gothic" w:hAnsi="Century Gothic" w:cs="Times New Roman"/>
                <w:w w:val="90"/>
                <w:sz w:val="20"/>
              </w:rPr>
              <w:t>29</w:t>
            </w:r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 xml:space="preserve"> received on April </w:t>
            </w:r>
            <w:r w:rsidRPr="00DE39C9">
              <w:rPr>
                <w:rFonts w:ascii="Century Gothic" w:hAnsi="Century Gothic" w:cs="Times New Roman"/>
                <w:w w:val="90"/>
                <w:sz w:val="20"/>
              </w:rPr>
              <w:t>08</w:t>
            </w:r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>, 202</w:t>
            </w:r>
            <w:r w:rsidRPr="00DE39C9">
              <w:rPr>
                <w:rFonts w:ascii="Century Gothic" w:hAnsi="Century Gothic" w:cs="Times New Roman"/>
                <w:w w:val="90"/>
                <w:sz w:val="20"/>
              </w:rPr>
              <w:t>4</w:t>
            </w:r>
            <w:r w:rsidR="004F3F50" w:rsidRPr="00DE39C9">
              <w:rPr>
                <w:rFonts w:ascii="Century Gothic" w:hAnsi="Century Gothic" w:cs="Times New Roman"/>
                <w:spacing w:val="1"/>
                <w:w w:val="90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 xml:space="preserve">from the KJK Balkan Holding </w:t>
            </w:r>
            <w:proofErr w:type="spellStart"/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>S.a.r.l</w:t>
            </w:r>
            <w:proofErr w:type="spellEnd"/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 xml:space="preserve"> as shareholder</w:t>
            </w:r>
            <w:r w:rsidR="004F3F50" w:rsidRPr="00DE39C9">
              <w:rPr>
                <w:rFonts w:ascii="Century Gothic" w:hAnsi="Century Gothic" w:cs="Times New Roman"/>
                <w:spacing w:val="1"/>
                <w:w w:val="90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w w:val="90"/>
                <w:sz w:val="20"/>
              </w:rPr>
              <w:t>of Rompetrol Well Services S.A. (owning 10.6797 %</w:t>
            </w:r>
            <w:r w:rsidR="004F3F50" w:rsidRPr="00DE39C9">
              <w:rPr>
                <w:rFonts w:ascii="Century Gothic" w:hAnsi="Century Gothic" w:cs="Times New Roman"/>
                <w:spacing w:val="-61"/>
                <w:w w:val="90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of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the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share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capital),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to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supplement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the</w:t>
            </w:r>
            <w:r w:rsidR="004F3F50" w:rsidRPr="00DE39C9">
              <w:rPr>
                <w:rFonts w:ascii="Century Gothic" w:hAnsi="Century Gothic" w:cs="Times New Roman"/>
                <w:spacing w:val="-13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Agenda</w:t>
            </w:r>
            <w:r w:rsidR="004F3F50" w:rsidRPr="00DE39C9">
              <w:rPr>
                <w:rFonts w:ascii="Century Gothic" w:hAnsi="Century Gothic" w:cs="Times New Roman"/>
                <w:spacing w:val="-68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w w:val="95"/>
                <w:sz w:val="20"/>
              </w:rPr>
              <w:t>of the Ordinary General Meeting of Shareholders</w:t>
            </w:r>
            <w:r w:rsidR="004F3F50" w:rsidRPr="00DE39C9">
              <w:rPr>
                <w:rFonts w:ascii="Century Gothic" w:hAnsi="Century Gothic" w:cs="Times New Roman"/>
                <w:spacing w:val="1"/>
                <w:w w:val="95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w w:val="95"/>
                <w:sz w:val="20"/>
              </w:rPr>
              <w:t>convened on April 26 (27), 2027, which proposes</w:t>
            </w:r>
            <w:r w:rsidR="004F3F50" w:rsidRPr="00DE39C9">
              <w:rPr>
                <w:rFonts w:ascii="Century Gothic" w:hAnsi="Century Gothic" w:cs="Times New Roman"/>
                <w:spacing w:val="-64"/>
                <w:w w:val="95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approval</w:t>
            </w:r>
            <w:r w:rsidR="004F3F50" w:rsidRPr="00DE39C9">
              <w:rPr>
                <w:rFonts w:ascii="Century Gothic" w:hAnsi="Century Gothic" w:cs="Times New Roman"/>
                <w:spacing w:val="-10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of</w:t>
            </w:r>
            <w:r w:rsidR="004F3F50" w:rsidRPr="00DE39C9">
              <w:rPr>
                <w:rFonts w:ascii="Century Gothic" w:hAnsi="Century Gothic" w:cs="Times New Roman"/>
                <w:spacing w:val="-8"/>
                <w:sz w:val="20"/>
              </w:rPr>
              <w:t xml:space="preserve"> </w:t>
            </w:r>
            <w:r w:rsidR="004F3F50" w:rsidRPr="00DE39C9">
              <w:rPr>
                <w:rFonts w:ascii="Century Gothic" w:hAnsi="Century Gothic" w:cs="Times New Roman"/>
                <w:sz w:val="20"/>
              </w:rPr>
              <w:t>the</w:t>
            </w:r>
            <w:r w:rsidR="004F3F50" w:rsidRPr="00DE39C9">
              <w:rPr>
                <w:rFonts w:ascii="Century Gothic" w:hAnsi="Century Gothic" w:cs="Times New Roman"/>
                <w:spacing w:val="-10"/>
                <w:sz w:val="20"/>
              </w:rPr>
              <w:t xml:space="preserve"> </w:t>
            </w:r>
            <w:r w:rsidR="00DE39C9" w:rsidRPr="00DE39C9">
              <w:rPr>
                <w:rFonts w:ascii="Century Gothic" w:hAnsi="Century Gothic" w:cs="Times New Roman"/>
                <w:sz w:val="20"/>
                <w:szCs w:val="20"/>
              </w:rPr>
              <w:t>changing of destination of the amount of RON 20,527,964 from other reserves and the distribution of this amount as dividend to the shareholders, namely RON 0.0737909 gross/share</w:t>
            </w:r>
            <w:r w:rsidR="00DE39C9" w:rsidRPr="00DE39C9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</w:p>
          <w:p w14:paraId="1FABD27D" w14:textId="77777777" w:rsidR="004F3F50" w:rsidRPr="004F3F50" w:rsidRDefault="004F3F50" w:rsidP="004F3F5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20"/>
              </w:tabs>
              <w:autoSpaceDE w:val="0"/>
              <w:autoSpaceDN w:val="0"/>
              <w:spacing w:after="0" w:line="242" w:lineRule="auto"/>
              <w:ind w:left="-29" w:right="11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4F3F50">
              <w:rPr>
                <w:rFonts w:ascii="Century Gothic" w:hAnsi="Century Gothic"/>
                <w:sz w:val="20"/>
              </w:rPr>
              <w:t>According to the provisions of the Articles of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53"/>
                <w:sz w:val="20"/>
              </w:rPr>
              <w:t>I</w:t>
            </w:r>
            <w:r w:rsidRPr="004F3F50">
              <w:rPr>
                <w:rFonts w:ascii="Century Gothic" w:hAnsi="Century Gothic"/>
                <w:spacing w:val="1"/>
                <w:w w:val="95"/>
                <w:sz w:val="20"/>
              </w:rPr>
              <w:t>n</w:t>
            </w:r>
            <w:r w:rsidRPr="004F3F50">
              <w:rPr>
                <w:rFonts w:ascii="Century Gothic" w:hAnsi="Century Gothic"/>
                <w:w w:val="123"/>
                <w:sz w:val="20"/>
              </w:rPr>
              <w:t>c</w:t>
            </w:r>
            <w:r w:rsidRPr="004F3F50">
              <w:rPr>
                <w:rFonts w:ascii="Century Gothic" w:hAnsi="Century Gothic"/>
                <w:spacing w:val="-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70"/>
                <w:sz w:val="20"/>
              </w:rPr>
              <w:t>r</w:t>
            </w:r>
            <w:r w:rsidRPr="004F3F50">
              <w:rPr>
                <w:rFonts w:ascii="Century Gothic" w:hAnsi="Century Gothic"/>
                <w:spacing w:val="1"/>
                <w:w w:val="108"/>
                <w:sz w:val="20"/>
              </w:rPr>
              <w:t>p</w:t>
            </w:r>
            <w:r w:rsidRPr="004F3F50">
              <w:rPr>
                <w:rFonts w:ascii="Century Gothic" w:hAnsi="Century Gothic"/>
                <w:spacing w:val="-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70"/>
                <w:sz w:val="20"/>
              </w:rPr>
              <w:t>r</w:t>
            </w:r>
            <w:r w:rsidRPr="004F3F50">
              <w:rPr>
                <w:rFonts w:ascii="Century Gothic" w:hAnsi="Century Gothic"/>
                <w:w w:val="113"/>
                <w:sz w:val="20"/>
              </w:rPr>
              <w:t>a</w:t>
            </w:r>
            <w:r w:rsidRPr="004F3F50">
              <w:rPr>
                <w:rFonts w:ascii="Century Gothic" w:hAnsi="Century Gothic"/>
                <w:spacing w:val="-1"/>
                <w:w w:val="85"/>
                <w:sz w:val="20"/>
              </w:rPr>
              <w:t>t</w:t>
            </w:r>
            <w:r w:rsidRPr="004F3F50">
              <w:rPr>
                <w:rFonts w:ascii="Century Gothic" w:hAnsi="Century Gothic"/>
                <w:spacing w:val="1"/>
                <w:w w:val="72"/>
                <w:sz w:val="20"/>
              </w:rPr>
              <w:t>i</w:t>
            </w:r>
            <w:r w:rsidRPr="004F3F50">
              <w:rPr>
                <w:rFonts w:ascii="Century Gothic" w:hAnsi="Century Gothic"/>
                <w:spacing w:val="-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95"/>
                <w:sz w:val="20"/>
              </w:rPr>
              <w:t>n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88"/>
                <w:sz w:val="20"/>
              </w:rPr>
              <w:t>f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"/>
                <w:w w:val="86"/>
                <w:sz w:val="20"/>
              </w:rPr>
              <w:t>R</w:t>
            </w:r>
            <w:r w:rsidRPr="004F3F50">
              <w:rPr>
                <w:rFonts w:ascii="Century Gothic" w:hAnsi="Century Gothic"/>
                <w:spacing w:val="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95"/>
                <w:sz w:val="20"/>
              </w:rPr>
              <w:t>m</w:t>
            </w:r>
            <w:r w:rsidRPr="004F3F50">
              <w:rPr>
                <w:rFonts w:ascii="Century Gothic" w:hAnsi="Century Gothic"/>
                <w:spacing w:val="1"/>
                <w:w w:val="108"/>
                <w:sz w:val="20"/>
              </w:rPr>
              <w:t>p</w:t>
            </w:r>
            <w:r w:rsidRPr="004F3F50">
              <w:rPr>
                <w:rFonts w:ascii="Century Gothic" w:hAnsi="Century Gothic"/>
                <w:w w:val="108"/>
                <w:sz w:val="20"/>
              </w:rPr>
              <w:t>e</w:t>
            </w:r>
            <w:r w:rsidRPr="004F3F50">
              <w:rPr>
                <w:rFonts w:ascii="Century Gothic" w:hAnsi="Century Gothic"/>
                <w:spacing w:val="2"/>
                <w:w w:val="85"/>
                <w:sz w:val="20"/>
              </w:rPr>
              <w:t>t</w:t>
            </w:r>
            <w:r w:rsidRPr="004F3F50">
              <w:rPr>
                <w:rFonts w:ascii="Century Gothic" w:hAnsi="Century Gothic"/>
                <w:w w:val="70"/>
                <w:sz w:val="20"/>
              </w:rPr>
              <w:t>r</w:t>
            </w:r>
            <w:r w:rsidRPr="004F3F50">
              <w:rPr>
                <w:rFonts w:ascii="Century Gothic" w:hAnsi="Century Gothic"/>
                <w:spacing w:val="-1"/>
                <w:w w:val="107"/>
                <w:sz w:val="20"/>
              </w:rPr>
              <w:t>o</w:t>
            </w:r>
            <w:r w:rsidRPr="004F3F50">
              <w:rPr>
                <w:rFonts w:ascii="Century Gothic" w:hAnsi="Century Gothic"/>
                <w:w w:val="72"/>
                <w:sz w:val="20"/>
              </w:rPr>
              <w:t>l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1"/>
                <w:w w:val="96"/>
                <w:sz w:val="20"/>
              </w:rPr>
              <w:t>W</w:t>
            </w:r>
            <w:r w:rsidRPr="004F3F50">
              <w:rPr>
                <w:rFonts w:ascii="Century Gothic" w:hAnsi="Century Gothic"/>
                <w:w w:val="108"/>
                <w:sz w:val="20"/>
              </w:rPr>
              <w:t>e</w:t>
            </w:r>
            <w:r w:rsidRPr="004F3F50">
              <w:rPr>
                <w:rFonts w:ascii="Century Gothic" w:hAnsi="Century Gothic"/>
                <w:spacing w:val="1"/>
                <w:w w:val="72"/>
                <w:sz w:val="20"/>
              </w:rPr>
              <w:t>l</w:t>
            </w:r>
            <w:r w:rsidRPr="004F3F50">
              <w:rPr>
                <w:rFonts w:ascii="Century Gothic" w:hAnsi="Century Gothic"/>
                <w:w w:val="72"/>
                <w:sz w:val="20"/>
              </w:rPr>
              <w:t>l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"/>
                <w:w w:val="72"/>
                <w:sz w:val="20"/>
              </w:rPr>
              <w:t>S</w:t>
            </w:r>
            <w:r w:rsidRPr="004F3F50">
              <w:rPr>
                <w:rFonts w:ascii="Century Gothic" w:hAnsi="Century Gothic"/>
                <w:w w:val="108"/>
                <w:sz w:val="20"/>
              </w:rPr>
              <w:t>e</w:t>
            </w:r>
            <w:r w:rsidRPr="004F3F50">
              <w:rPr>
                <w:rFonts w:ascii="Century Gothic" w:hAnsi="Century Gothic"/>
                <w:w w:val="70"/>
                <w:sz w:val="20"/>
              </w:rPr>
              <w:t>r</w:t>
            </w:r>
            <w:r w:rsidRPr="004F3F50">
              <w:rPr>
                <w:rFonts w:ascii="Century Gothic" w:hAnsi="Century Gothic"/>
                <w:w w:val="93"/>
                <w:sz w:val="20"/>
              </w:rPr>
              <w:t>v</w:t>
            </w:r>
            <w:r w:rsidRPr="004F3F50">
              <w:rPr>
                <w:rFonts w:ascii="Century Gothic" w:hAnsi="Century Gothic"/>
                <w:spacing w:val="1"/>
                <w:w w:val="72"/>
                <w:sz w:val="20"/>
              </w:rPr>
              <w:t>i</w:t>
            </w:r>
            <w:r w:rsidRPr="004F3F50">
              <w:rPr>
                <w:rFonts w:ascii="Century Gothic" w:hAnsi="Century Gothic"/>
                <w:w w:val="123"/>
                <w:sz w:val="20"/>
              </w:rPr>
              <w:t>c</w:t>
            </w:r>
            <w:r w:rsidRPr="004F3F50">
              <w:rPr>
                <w:rFonts w:ascii="Century Gothic" w:hAnsi="Century Gothic"/>
                <w:w w:val="108"/>
                <w:sz w:val="20"/>
              </w:rPr>
              <w:t>e</w:t>
            </w:r>
            <w:r w:rsidRPr="004F3F50">
              <w:rPr>
                <w:rFonts w:ascii="Century Gothic" w:hAnsi="Century Gothic"/>
                <w:spacing w:val="-1"/>
                <w:w w:val="74"/>
                <w:sz w:val="20"/>
              </w:rPr>
              <w:t>s</w:t>
            </w:r>
            <w:r w:rsidRPr="004F3F50">
              <w:rPr>
                <w:rFonts w:ascii="Century Gothic" w:hAnsi="Century Gothic"/>
                <w:w w:val="75"/>
                <w:sz w:val="20"/>
              </w:rPr>
              <w:t>,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113"/>
                <w:sz w:val="20"/>
              </w:rPr>
              <w:t>a</w:t>
            </w:r>
            <w:r w:rsidRPr="004F3F50">
              <w:rPr>
                <w:rFonts w:ascii="Century Gothic" w:hAnsi="Century Gothic"/>
                <w:spacing w:val="1"/>
                <w:w w:val="72"/>
                <w:sz w:val="20"/>
              </w:rPr>
              <w:t>l</w:t>
            </w:r>
            <w:r w:rsidRPr="004F3F50">
              <w:rPr>
                <w:rFonts w:ascii="Century Gothic" w:hAnsi="Century Gothic"/>
                <w:w w:val="72"/>
                <w:sz w:val="20"/>
              </w:rPr>
              <w:t>l</w:t>
            </w:r>
            <w:r w:rsidRPr="004F3F50">
              <w:rPr>
                <w:rFonts w:ascii="Century Gothic" w:hAnsi="Century Gothic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pacing w:val="-1"/>
                <w:w w:val="85"/>
                <w:sz w:val="20"/>
              </w:rPr>
              <w:t>t</w:t>
            </w:r>
            <w:r w:rsidRPr="004F3F50">
              <w:rPr>
                <w:rFonts w:ascii="Century Gothic" w:hAnsi="Century Gothic"/>
                <w:spacing w:val="1"/>
                <w:w w:val="95"/>
                <w:sz w:val="20"/>
              </w:rPr>
              <w:t>h</w:t>
            </w:r>
            <w:r w:rsidRPr="004F3F50">
              <w:rPr>
                <w:rFonts w:ascii="Century Gothic" w:hAnsi="Century Gothic"/>
                <w:w w:val="108"/>
                <w:sz w:val="20"/>
              </w:rPr>
              <w:t xml:space="preserve">e </w:t>
            </w:r>
            <w:r w:rsidRPr="004F3F50">
              <w:rPr>
                <w:rFonts w:ascii="Century Gothic" w:hAnsi="Century Gothic"/>
                <w:sz w:val="20"/>
              </w:rPr>
              <w:t>shares issued by Rompetrol Well Services are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entitled</w:t>
            </w:r>
            <w:r w:rsidRPr="004F3F50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to</w:t>
            </w:r>
            <w:r w:rsidRPr="004F3F50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an</w:t>
            </w:r>
            <w:r w:rsidRPr="004F3F50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equal</w:t>
            </w:r>
            <w:r w:rsidRPr="004F3F50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dividend;</w:t>
            </w:r>
          </w:p>
          <w:p w14:paraId="1DB6C1CF" w14:textId="77777777" w:rsidR="004F3F50" w:rsidRPr="004F3F50" w:rsidRDefault="004F3F50" w:rsidP="004F3F5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80"/>
              </w:tabs>
              <w:autoSpaceDE w:val="0"/>
              <w:autoSpaceDN w:val="0"/>
              <w:spacing w:after="0" w:line="242" w:lineRule="auto"/>
              <w:ind w:left="-29" w:right="108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4F3F50">
              <w:rPr>
                <w:rFonts w:ascii="Century Gothic" w:hAnsi="Century Gothic"/>
                <w:w w:val="95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distribution</w:t>
            </w:r>
            <w:r w:rsidRPr="004F3F50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of</w:t>
            </w:r>
            <w:r w:rsidRPr="004F3F50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dividends</w:t>
            </w:r>
            <w:r w:rsidRPr="004F3F50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will</w:t>
            </w:r>
            <w:r w:rsidRPr="004F3F50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be</w:t>
            </w:r>
            <w:r w:rsidRPr="004F3F50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proportional</w:t>
            </w:r>
            <w:r w:rsidRPr="004F3F50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to</w:t>
            </w:r>
            <w:r w:rsidRPr="004F3F50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shares</w:t>
            </w:r>
            <w:r w:rsidRPr="004F3F50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held</w:t>
            </w:r>
            <w:r w:rsidRPr="004F3F50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by</w:t>
            </w:r>
            <w:r w:rsidRPr="004F3F50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each</w:t>
            </w:r>
            <w:r w:rsidRPr="004F3F50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shareholder</w:t>
            </w:r>
            <w:r w:rsidRPr="004F3F50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from</w:t>
            </w:r>
            <w:r w:rsidRPr="004F3F50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share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capital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of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Rompetrol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Well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Services,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according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to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provisions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of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article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67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of</w:t>
            </w:r>
            <w:r w:rsidRPr="004F3F50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Companies Law. According to the provisions of</w:t>
            </w:r>
            <w:r w:rsidRPr="004F3F50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article 86 para. 1 of Law 24/2017 on issuers of</w:t>
            </w:r>
            <w:r w:rsidRPr="004F3F50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financial instruments and market operations</w:t>
            </w:r>
            <w:r w:rsidRPr="004F3F50">
              <w:rPr>
                <w:rFonts w:ascii="Century Gothic" w:hAnsi="Century Gothic"/>
                <w:b/>
                <w:w w:val="95"/>
                <w:sz w:val="20"/>
              </w:rPr>
              <w:t xml:space="preserve">, </w:t>
            </w:r>
            <w:r w:rsidRPr="004F3F50">
              <w:rPr>
                <w:rFonts w:ascii="Century Gothic" w:hAnsi="Century Gothic"/>
                <w:w w:val="95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Shareholders</w:t>
            </w:r>
            <w:r w:rsidRPr="004F3F50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entitled</w:t>
            </w:r>
            <w:r w:rsidRPr="004F3F50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to</w:t>
            </w:r>
            <w:r w:rsidRPr="004F3F50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cash</w:t>
            </w:r>
            <w:r w:rsidRPr="004F3F50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dividends</w:t>
            </w:r>
            <w:r w:rsidRPr="004F3F50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will</w:t>
            </w:r>
            <w:r w:rsidRPr="004F3F50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be</w:t>
            </w:r>
            <w:r w:rsidRPr="004F3F50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-65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shareholders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registered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in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Shareholder</w:t>
            </w:r>
            <w:r w:rsidRPr="004F3F50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w w:val="95"/>
                <w:sz w:val="20"/>
              </w:rPr>
              <w:t>Register at the date of registration established by</w:t>
            </w:r>
            <w:r w:rsidRPr="004F3F50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the</w:t>
            </w:r>
            <w:r w:rsidRPr="004F3F50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4F3F50">
              <w:rPr>
                <w:rFonts w:ascii="Century Gothic" w:hAnsi="Century Gothic"/>
                <w:sz w:val="20"/>
              </w:rPr>
              <w:t>OGMS;</w:t>
            </w:r>
          </w:p>
          <w:p w14:paraId="3755FF64" w14:textId="58A3546D" w:rsidR="004F3F50" w:rsidRPr="00FB534C" w:rsidRDefault="004F3F50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61"/>
                <w:tab w:val="left" w:pos="151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FB534C">
              <w:rPr>
                <w:rFonts w:ascii="Century Gothic" w:hAnsi="Century Gothic"/>
                <w:w w:val="90"/>
                <w:sz w:val="20"/>
              </w:rPr>
              <w:t>The</w:t>
            </w:r>
            <w:r w:rsidRPr="00FB534C">
              <w:rPr>
                <w:rFonts w:ascii="Century Gothic" w:hAnsi="Century Gothic"/>
                <w:spacing w:val="11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proposed</w:t>
            </w:r>
            <w:r w:rsidRPr="00FB534C">
              <w:rPr>
                <w:rFonts w:ascii="Century Gothic" w:hAnsi="Century Gothic"/>
                <w:spacing w:val="12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registration</w:t>
            </w:r>
            <w:r w:rsidRPr="00FB534C">
              <w:rPr>
                <w:rFonts w:ascii="Century Gothic" w:hAnsi="Century Gothic"/>
                <w:spacing w:val="13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date</w:t>
            </w:r>
            <w:r w:rsidRPr="00FB534C">
              <w:rPr>
                <w:rFonts w:ascii="Century Gothic" w:hAnsi="Century Gothic"/>
                <w:spacing w:val="11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is:</w:t>
            </w:r>
            <w:r w:rsidRPr="00FB534C">
              <w:rPr>
                <w:rFonts w:ascii="Century Gothic" w:hAnsi="Century Gothic"/>
                <w:spacing w:val="12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June</w:t>
            </w:r>
            <w:r w:rsidRPr="00FB534C">
              <w:rPr>
                <w:rFonts w:ascii="Century Gothic" w:hAnsi="Century Gothic"/>
                <w:spacing w:val="12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2</w:t>
            </w:r>
            <w:r w:rsidR="00FB534C">
              <w:rPr>
                <w:rFonts w:ascii="Century Gothic" w:hAnsi="Century Gothic"/>
                <w:w w:val="90"/>
                <w:sz w:val="20"/>
              </w:rPr>
              <w:t>6</w:t>
            </w:r>
            <w:r w:rsidRPr="00FB534C">
              <w:rPr>
                <w:rFonts w:ascii="Century Gothic" w:hAnsi="Century Gothic"/>
                <w:w w:val="90"/>
                <w:sz w:val="20"/>
              </w:rPr>
              <w:t>,</w:t>
            </w:r>
            <w:r w:rsidRPr="00FB534C">
              <w:rPr>
                <w:rFonts w:ascii="Century Gothic" w:hAnsi="Century Gothic"/>
                <w:spacing w:val="14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0"/>
                <w:sz w:val="20"/>
              </w:rPr>
              <w:t>202</w:t>
            </w:r>
            <w:r w:rsidR="00FB534C">
              <w:rPr>
                <w:rFonts w:ascii="Century Gothic" w:hAnsi="Century Gothic"/>
                <w:w w:val="90"/>
                <w:sz w:val="20"/>
              </w:rPr>
              <w:t>4</w:t>
            </w:r>
          </w:p>
          <w:p w14:paraId="460CE02F" w14:textId="77777777" w:rsidR="004F3F50" w:rsidRPr="00FB534C" w:rsidRDefault="004F3F50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1"/>
                <w:tab w:val="left" w:pos="151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 w:cs="Times New Roman"/>
                <w:sz w:val="20"/>
              </w:rPr>
            </w:pPr>
            <w:r w:rsidRPr="00FB534C">
              <w:rPr>
                <w:rFonts w:ascii="Century Gothic" w:hAnsi="Century Gothic" w:cs="Times New Roman"/>
                <w:sz w:val="20"/>
              </w:rPr>
              <w:t>The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proposed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date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for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the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payment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sz w:val="20"/>
              </w:rPr>
              <w:t>of</w:t>
            </w:r>
            <w:r w:rsidRPr="00FB534C">
              <w:rPr>
                <w:rFonts w:ascii="Century Gothic" w:hAnsi="Century Gothic" w:cs="Times New Roman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dividends:</w:t>
            </w:r>
            <w:r w:rsidRPr="00FB534C">
              <w:rPr>
                <w:rFonts w:ascii="Century Gothic" w:hAnsi="Century Gothic" w:cs="Times New Roman"/>
                <w:spacing w:val="-8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starting</w:t>
            </w:r>
            <w:r w:rsidRPr="00FB534C">
              <w:rPr>
                <w:rFonts w:ascii="Century Gothic" w:hAnsi="Century Gothic" w:cs="Times New Roman"/>
                <w:spacing w:val="-8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with</w:t>
            </w:r>
            <w:r w:rsidRPr="00FB534C">
              <w:rPr>
                <w:rFonts w:ascii="Century Gothic" w:hAnsi="Century Gothic" w:cs="Times New Roman"/>
                <w:spacing w:val="-7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July</w:t>
            </w:r>
            <w:r w:rsidRPr="00FB534C">
              <w:rPr>
                <w:rFonts w:ascii="Century Gothic" w:hAnsi="Century Gothic" w:cs="Times New Roman"/>
                <w:spacing w:val="-7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12,</w:t>
            </w:r>
            <w:r w:rsidRPr="00FB534C">
              <w:rPr>
                <w:rFonts w:ascii="Century Gothic" w:hAnsi="Century Gothic" w:cs="Times New Roman"/>
                <w:spacing w:val="-8"/>
                <w:w w:val="90"/>
                <w:sz w:val="20"/>
              </w:rPr>
              <w:t xml:space="preserve"> </w:t>
            </w:r>
            <w:r w:rsidRPr="00FB534C">
              <w:rPr>
                <w:rFonts w:ascii="Century Gothic" w:hAnsi="Century Gothic" w:cs="Times New Roman"/>
                <w:w w:val="90"/>
                <w:sz w:val="20"/>
              </w:rPr>
              <w:t>2023;</w:t>
            </w:r>
          </w:p>
          <w:p w14:paraId="28912456" w14:textId="77777777" w:rsidR="00FB534C" w:rsidRPr="00FB534C" w:rsidRDefault="00FB534C" w:rsidP="00FB534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51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FB534C">
              <w:rPr>
                <w:rFonts w:ascii="Century Gothic" w:hAnsi="Century Gothic"/>
                <w:sz w:val="20"/>
              </w:rPr>
              <w:t>The</w:t>
            </w:r>
            <w:r w:rsidRPr="00FB534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distribution</w:t>
            </w:r>
            <w:r w:rsidRPr="00FB534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of</w:t>
            </w:r>
            <w:r w:rsidRPr="00FB534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dividends</w:t>
            </w:r>
            <w:r w:rsidRPr="00FB534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shall</w:t>
            </w:r>
            <w:r w:rsidRPr="00FB534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be</w:t>
            </w:r>
            <w:r w:rsidRPr="00FB534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done</w:t>
            </w:r>
            <w:r w:rsidRPr="00FB534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by</w:t>
            </w:r>
            <w:r w:rsidRPr="00FB534C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using the services of the Central Depository,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according to a procedure that will be published</w:t>
            </w:r>
            <w:r w:rsidRPr="00FB534C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on</w:t>
            </w:r>
            <w:r w:rsidRPr="00FB534C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the</w:t>
            </w:r>
            <w:r w:rsidRPr="00FB534C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website</w:t>
            </w:r>
            <w:r w:rsidRPr="00FB534C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of</w:t>
            </w:r>
            <w:r w:rsidRPr="00FB534C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Rompetrol</w:t>
            </w:r>
            <w:r w:rsidRPr="00FB534C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Well</w:t>
            </w:r>
            <w:r w:rsidRPr="00FB534C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Services</w:t>
            </w:r>
            <w:r w:rsidRPr="00FB534C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prior</w:t>
            </w:r>
            <w:r w:rsidRPr="00FB534C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w w:val="95"/>
                <w:sz w:val="20"/>
              </w:rPr>
              <w:t>to</w:t>
            </w:r>
            <w:r w:rsidRPr="00FB534C">
              <w:rPr>
                <w:rFonts w:ascii="Century Gothic" w:hAnsi="Century Gothic"/>
                <w:spacing w:val="-65"/>
                <w:w w:val="9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the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date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of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commencement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of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dividend</w:t>
            </w:r>
            <w:r w:rsidRPr="00FB534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sz w:val="20"/>
              </w:rPr>
              <w:t>payments.</w:t>
            </w:r>
          </w:p>
          <w:p w14:paraId="632BAF49" w14:textId="77777777" w:rsidR="00FB534C" w:rsidRPr="00FB534C" w:rsidRDefault="00FB534C" w:rsidP="00FB534C">
            <w:pPr>
              <w:pStyle w:val="BodyText"/>
              <w:ind w:left="-119" w:firstLine="119"/>
              <w:rPr>
                <w:rFonts w:ascii="Century Gothic" w:hAnsi="Century Gothic"/>
              </w:rPr>
            </w:pPr>
          </w:p>
          <w:p w14:paraId="05816A09" w14:textId="77777777" w:rsidR="001F0A8B" w:rsidRPr="001F0A8B" w:rsidRDefault="00FB534C" w:rsidP="001F0A8B">
            <w:pPr>
              <w:pStyle w:val="Default"/>
              <w:jc w:val="both"/>
              <w:rPr>
                <w:rFonts w:ascii="Century Gothic" w:hAnsi="Century Gothic" w:cs="Times New Roman"/>
                <w:i/>
                <w:iCs/>
                <w:sz w:val="20"/>
                <w:szCs w:val="20"/>
                <w:lang w:eastAsia="en-GB"/>
              </w:rPr>
            </w:pPr>
            <w:r w:rsidRPr="00FB534C">
              <w:rPr>
                <w:rFonts w:ascii="Century Gothic" w:hAnsi="Century Gothic"/>
                <w:i/>
                <w:sz w:val="20"/>
              </w:rPr>
              <w:lastRenderedPageBreak/>
              <w:t>Therefore,</w:t>
            </w:r>
            <w:r w:rsidRPr="00FB534C">
              <w:rPr>
                <w:rFonts w:ascii="Century Gothic" w:hAnsi="Century Gothic"/>
                <w:i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it</w:t>
            </w:r>
            <w:r w:rsidRPr="00FB534C">
              <w:rPr>
                <w:rFonts w:ascii="Century Gothic" w:hAnsi="Century Gothic"/>
                <w:i/>
                <w:spacing w:val="-3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is</w:t>
            </w:r>
            <w:r w:rsidRPr="00FB534C">
              <w:rPr>
                <w:rFonts w:ascii="Century Gothic" w:hAnsi="Century Gothic"/>
                <w:i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proposed</w:t>
            </w:r>
            <w:r w:rsidRPr="00FB534C">
              <w:rPr>
                <w:rFonts w:ascii="Century Gothic" w:hAnsi="Century Gothic"/>
                <w:i/>
                <w:spacing w:val="-3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to</w:t>
            </w:r>
            <w:r w:rsidRPr="00FB534C">
              <w:rPr>
                <w:rFonts w:ascii="Century Gothic" w:hAnsi="Century Gothic"/>
                <w:i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the</w:t>
            </w:r>
            <w:r w:rsidRPr="00FB534C">
              <w:rPr>
                <w:rFonts w:ascii="Century Gothic" w:hAnsi="Century Gothic"/>
                <w:i/>
                <w:spacing w:val="-5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RWS’s</w:t>
            </w:r>
            <w:r w:rsidRPr="00FB534C">
              <w:rPr>
                <w:rFonts w:ascii="Century Gothic" w:hAnsi="Century Gothic"/>
                <w:i/>
                <w:spacing w:val="-6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OGMS</w:t>
            </w:r>
            <w:r w:rsidRPr="00FB534C">
              <w:rPr>
                <w:rFonts w:ascii="Century Gothic" w:hAnsi="Century Gothic"/>
                <w:i/>
                <w:spacing w:val="-4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of</w:t>
            </w:r>
            <w:r w:rsidRPr="00FB534C">
              <w:rPr>
                <w:rFonts w:ascii="Century Gothic" w:hAnsi="Century Gothic"/>
                <w:i/>
                <w:spacing w:val="-68"/>
                <w:sz w:val="20"/>
              </w:rPr>
              <w:t xml:space="preserve"> </w:t>
            </w:r>
            <w:r w:rsidRPr="00FB534C">
              <w:rPr>
                <w:rFonts w:ascii="Century Gothic" w:hAnsi="Century Gothic"/>
                <w:i/>
                <w:sz w:val="20"/>
              </w:rPr>
              <w:t>April 2</w:t>
            </w:r>
            <w:r w:rsidRPr="00FB534C">
              <w:rPr>
                <w:rFonts w:ascii="Century Gothic" w:hAnsi="Century Gothic"/>
                <w:i/>
                <w:sz w:val="20"/>
              </w:rPr>
              <w:t>5</w:t>
            </w:r>
            <w:r w:rsidRPr="00FB534C">
              <w:rPr>
                <w:rFonts w:ascii="Century Gothic" w:hAnsi="Century Gothic"/>
                <w:i/>
                <w:sz w:val="20"/>
              </w:rPr>
              <w:t>, 202</w:t>
            </w:r>
            <w:r w:rsidRPr="00FB534C">
              <w:rPr>
                <w:rFonts w:ascii="Century Gothic" w:hAnsi="Century Gothic"/>
                <w:i/>
                <w:sz w:val="20"/>
              </w:rPr>
              <w:t>4</w:t>
            </w:r>
            <w:r w:rsidRPr="00FB534C">
              <w:rPr>
                <w:rFonts w:ascii="Century Gothic" w:hAnsi="Century Gothic"/>
                <w:i/>
                <w:sz w:val="20"/>
              </w:rPr>
              <w:t xml:space="preserve"> to approve the </w:t>
            </w:r>
            <w:r w:rsidR="001F0A8B" w:rsidRPr="001F0A8B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changing of destination of the amount of RON 20,527,964 from other reserves and the distribution of this amount as dividend to the shareholders, namely RON 0.0737909 gross/share</w:t>
            </w:r>
            <w:r w:rsidR="001F0A8B" w:rsidRPr="001F0A8B">
              <w:rPr>
                <w:rFonts w:ascii="Century Gothic" w:hAnsi="Century Gothic" w:cs="Times New Roman"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1DF07EA1" w14:textId="50CD9ABC" w:rsidR="00FB534C" w:rsidRPr="00FB534C" w:rsidRDefault="00FB534C" w:rsidP="00FB534C">
            <w:pPr>
              <w:ind w:left="-119"/>
              <w:jc w:val="both"/>
              <w:rPr>
                <w:rFonts w:ascii="Century Gothic" w:hAnsi="Century Gothic"/>
                <w:i/>
                <w:sz w:val="20"/>
              </w:rPr>
            </w:pPr>
            <w:r w:rsidRPr="00FB534C">
              <w:rPr>
                <w:rFonts w:ascii="Century Gothic" w:hAnsi="Century Gothic"/>
                <w:i/>
                <w:w w:val="90"/>
                <w:sz w:val="20"/>
              </w:rPr>
              <w:t>.</w:t>
            </w:r>
          </w:p>
          <w:p w14:paraId="0FE03148" w14:textId="77777777" w:rsidR="00622A70" w:rsidRPr="004F3F50" w:rsidRDefault="00622A70" w:rsidP="00FB534C">
            <w:pPr>
              <w:pStyle w:val="NoSpacing"/>
              <w:ind w:left="-119" w:firstLine="119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14:paraId="0BD4CC21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1C23EA27" w14:textId="77777777" w:rsidR="005C0A19" w:rsidRPr="00092334" w:rsidRDefault="005C0A19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>Director Economic/</w:t>
            </w:r>
            <w:proofErr w:type="spellStart"/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>Finance</w:t>
            </w:r>
            <w:proofErr w:type="spellEnd"/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 xml:space="preserve"> Manager</w:t>
            </w:r>
          </w:p>
          <w:p w14:paraId="28DA89F9" w14:textId="77777777" w:rsidR="005C0A19" w:rsidRPr="00092334" w:rsidRDefault="005C0A19" w:rsidP="00092334">
            <w:pPr>
              <w:pStyle w:val="NoSpacing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</w:pPr>
            <w:r w:rsidRPr="0009233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ro-RO"/>
              </w:rPr>
              <w:t>Luiza Roxana Moise</w:t>
            </w:r>
          </w:p>
          <w:p w14:paraId="246A469E" w14:textId="77777777" w:rsidR="005C0A19" w:rsidRPr="00092334" w:rsidRDefault="005C0A19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2A37F775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370FD53F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16C1DDB2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32F110E3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57F4FA56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36EEEF7A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6964A6A4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6EFC0397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3040E618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45717AA6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67147C03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7FA2DDF1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1D382D36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060E9325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54EEF1B5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51E19BF4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52435FA1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29569512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45FBE828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44539452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71877DBF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30918579" w14:textId="77777777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  <w:p w14:paraId="796EFA85" w14:textId="50F70BEE" w:rsidR="004C0415" w:rsidRPr="00092334" w:rsidRDefault="004C0415" w:rsidP="00092334">
            <w:pPr>
              <w:jc w:val="both"/>
              <w:rPr>
                <w:rFonts w:ascii="Century Gothic" w:hAnsi="Century Gothic"/>
                <w:sz w:val="20"/>
                <w:szCs w:val="20"/>
                <w:lang w:val="ro-RO"/>
              </w:rPr>
            </w:pPr>
          </w:p>
        </w:tc>
      </w:tr>
    </w:tbl>
    <w:p w14:paraId="071CE98B" w14:textId="687039EC" w:rsidR="004C0415" w:rsidRPr="00092334" w:rsidRDefault="004C0415" w:rsidP="00092334">
      <w:pPr>
        <w:jc w:val="both"/>
        <w:rPr>
          <w:rFonts w:ascii="Century Gothic" w:hAnsi="Century Gothic"/>
          <w:sz w:val="20"/>
          <w:szCs w:val="20"/>
        </w:rPr>
      </w:pPr>
    </w:p>
    <w:sectPr w:rsidR="004C0415" w:rsidRPr="00092334" w:rsidSect="00092334">
      <w:headerReference w:type="default" r:id="rId8"/>
      <w:footerReference w:type="default" r:id="rId9"/>
      <w:pgSz w:w="12240" w:h="15840"/>
      <w:pgMar w:top="1440" w:right="810" w:bottom="25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5C3A" w14:textId="77777777" w:rsidR="003D12C3" w:rsidRDefault="003D12C3" w:rsidP="00302C7D">
      <w:r>
        <w:separator/>
      </w:r>
    </w:p>
  </w:endnote>
  <w:endnote w:type="continuationSeparator" w:id="0">
    <w:p w14:paraId="442CB3AA" w14:textId="77777777" w:rsidR="003D12C3" w:rsidRDefault="003D12C3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4E0D2E82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21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r w:rsidRPr="00E83608">
      <w:rPr>
        <w:rFonts w:ascii="Century Gothic" w:hAnsi="Century Gothic"/>
        <w:sz w:val="14"/>
        <w:szCs w:val="14"/>
      </w:rPr>
      <w:t>No:J</w:t>
    </w:r>
    <w:proofErr w:type="spell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2E23" w14:textId="77777777" w:rsidR="003D12C3" w:rsidRDefault="003D12C3" w:rsidP="00302C7D">
      <w:r>
        <w:separator/>
      </w:r>
    </w:p>
  </w:footnote>
  <w:footnote w:type="continuationSeparator" w:id="0">
    <w:p w14:paraId="362B519A" w14:textId="77777777" w:rsidR="003D12C3" w:rsidRDefault="003D12C3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9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F276DE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7B4026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D33EBA"/>
    <w:multiLevelType w:val="hybridMultilevel"/>
    <w:tmpl w:val="42AC0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D48"/>
    <w:multiLevelType w:val="hybridMultilevel"/>
    <w:tmpl w:val="3432B038"/>
    <w:lvl w:ilvl="0" w:tplc="00A29DBE">
      <w:numFmt w:val="bullet"/>
      <w:lvlText w:val=""/>
      <w:lvlJc w:val="left"/>
      <w:pPr>
        <w:ind w:left="103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94B576">
      <w:numFmt w:val="bullet"/>
      <w:lvlText w:val="•"/>
      <w:lvlJc w:val="left"/>
      <w:pPr>
        <w:ind w:left="581" w:hanging="272"/>
      </w:pPr>
      <w:rPr>
        <w:rFonts w:hint="default"/>
        <w:lang w:val="en-US" w:eastAsia="en-US" w:bidi="ar-SA"/>
      </w:rPr>
    </w:lvl>
    <w:lvl w:ilvl="2" w:tplc="0A441A36">
      <w:numFmt w:val="bullet"/>
      <w:lvlText w:val="•"/>
      <w:lvlJc w:val="left"/>
      <w:pPr>
        <w:ind w:left="1062" w:hanging="272"/>
      </w:pPr>
      <w:rPr>
        <w:rFonts w:hint="default"/>
        <w:lang w:val="en-US" w:eastAsia="en-US" w:bidi="ar-SA"/>
      </w:rPr>
    </w:lvl>
    <w:lvl w:ilvl="3" w:tplc="04429BC4"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4" w:tplc="2932BF2E">
      <w:numFmt w:val="bullet"/>
      <w:lvlText w:val="•"/>
      <w:lvlJc w:val="left"/>
      <w:pPr>
        <w:ind w:left="2024" w:hanging="272"/>
      </w:pPr>
      <w:rPr>
        <w:rFonts w:hint="default"/>
        <w:lang w:val="en-US" w:eastAsia="en-US" w:bidi="ar-SA"/>
      </w:rPr>
    </w:lvl>
    <w:lvl w:ilvl="5" w:tplc="F2A671E2">
      <w:numFmt w:val="bullet"/>
      <w:lvlText w:val="•"/>
      <w:lvlJc w:val="left"/>
      <w:pPr>
        <w:ind w:left="2505" w:hanging="272"/>
      </w:pPr>
      <w:rPr>
        <w:rFonts w:hint="default"/>
        <w:lang w:val="en-US" w:eastAsia="en-US" w:bidi="ar-SA"/>
      </w:rPr>
    </w:lvl>
    <w:lvl w:ilvl="6" w:tplc="7B5AAEC0">
      <w:numFmt w:val="bullet"/>
      <w:lvlText w:val="•"/>
      <w:lvlJc w:val="left"/>
      <w:pPr>
        <w:ind w:left="2987" w:hanging="272"/>
      </w:pPr>
      <w:rPr>
        <w:rFonts w:hint="default"/>
        <w:lang w:val="en-US" w:eastAsia="en-US" w:bidi="ar-SA"/>
      </w:rPr>
    </w:lvl>
    <w:lvl w:ilvl="7" w:tplc="AE42BA5A">
      <w:numFmt w:val="bullet"/>
      <w:lvlText w:val="•"/>
      <w:lvlJc w:val="left"/>
      <w:pPr>
        <w:ind w:left="3468" w:hanging="272"/>
      </w:pPr>
      <w:rPr>
        <w:rFonts w:hint="default"/>
        <w:lang w:val="en-US" w:eastAsia="en-US" w:bidi="ar-SA"/>
      </w:rPr>
    </w:lvl>
    <w:lvl w:ilvl="8" w:tplc="A2983094">
      <w:numFmt w:val="bullet"/>
      <w:lvlText w:val="•"/>
      <w:lvlJc w:val="left"/>
      <w:pPr>
        <w:ind w:left="3949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45EB7F07"/>
    <w:multiLevelType w:val="hybridMultilevel"/>
    <w:tmpl w:val="2C0C4074"/>
    <w:lvl w:ilvl="0" w:tplc="278C7688">
      <w:numFmt w:val="bullet"/>
      <w:lvlText w:val="•"/>
      <w:lvlJc w:val="left"/>
      <w:pPr>
        <w:ind w:left="127" w:hanging="276"/>
      </w:pPr>
      <w:rPr>
        <w:rFonts w:ascii="Verdana" w:eastAsia="Verdana" w:hAnsi="Verdana" w:cs="Verdana" w:hint="default"/>
        <w:w w:val="110"/>
        <w:sz w:val="20"/>
        <w:szCs w:val="20"/>
        <w:lang w:val="en-US" w:eastAsia="en-US" w:bidi="ar-SA"/>
      </w:rPr>
    </w:lvl>
    <w:lvl w:ilvl="1" w:tplc="C6F2D50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2" w:tplc="1E32BBF4">
      <w:numFmt w:val="bullet"/>
      <w:lvlText w:val="•"/>
      <w:lvlJc w:val="left"/>
      <w:pPr>
        <w:ind w:left="1078" w:hanging="276"/>
      </w:pPr>
      <w:rPr>
        <w:rFonts w:hint="default"/>
        <w:lang w:val="en-US" w:eastAsia="en-US" w:bidi="ar-SA"/>
      </w:rPr>
    </w:lvl>
    <w:lvl w:ilvl="3" w:tplc="07C0AF38">
      <w:numFmt w:val="bullet"/>
      <w:lvlText w:val="•"/>
      <w:lvlJc w:val="left"/>
      <w:pPr>
        <w:ind w:left="1557" w:hanging="276"/>
      </w:pPr>
      <w:rPr>
        <w:rFonts w:hint="default"/>
        <w:lang w:val="en-US" w:eastAsia="en-US" w:bidi="ar-SA"/>
      </w:rPr>
    </w:lvl>
    <w:lvl w:ilvl="4" w:tplc="6B5891FA">
      <w:numFmt w:val="bullet"/>
      <w:lvlText w:val="•"/>
      <w:lvlJc w:val="left"/>
      <w:pPr>
        <w:ind w:left="2036" w:hanging="276"/>
      </w:pPr>
      <w:rPr>
        <w:rFonts w:hint="default"/>
        <w:lang w:val="en-US" w:eastAsia="en-US" w:bidi="ar-SA"/>
      </w:rPr>
    </w:lvl>
    <w:lvl w:ilvl="5" w:tplc="C8EA48B8">
      <w:numFmt w:val="bullet"/>
      <w:lvlText w:val="•"/>
      <w:lvlJc w:val="left"/>
      <w:pPr>
        <w:ind w:left="2515" w:hanging="276"/>
      </w:pPr>
      <w:rPr>
        <w:rFonts w:hint="default"/>
        <w:lang w:val="en-US" w:eastAsia="en-US" w:bidi="ar-SA"/>
      </w:rPr>
    </w:lvl>
    <w:lvl w:ilvl="6" w:tplc="2AFC6CD0">
      <w:numFmt w:val="bullet"/>
      <w:lvlText w:val="•"/>
      <w:lvlJc w:val="left"/>
      <w:pPr>
        <w:ind w:left="2995" w:hanging="276"/>
      </w:pPr>
      <w:rPr>
        <w:rFonts w:hint="default"/>
        <w:lang w:val="en-US" w:eastAsia="en-US" w:bidi="ar-SA"/>
      </w:rPr>
    </w:lvl>
    <w:lvl w:ilvl="7" w:tplc="FAB0BB04">
      <w:numFmt w:val="bullet"/>
      <w:lvlText w:val="•"/>
      <w:lvlJc w:val="left"/>
      <w:pPr>
        <w:ind w:left="3474" w:hanging="276"/>
      </w:pPr>
      <w:rPr>
        <w:rFonts w:hint="default"/>
        <w:lang w:val="en-US" w:eastAsia="en-US" w:bidi="ar-SA"/>
      </w:rPr>
    </w:lvl>
    <w:lvl w:ilvl="8" w:tplc="1A3A9310">
      <w:numFmt w:val="bullet"/>
      <w:lvlText w:val="•"/>
      <w:lvlJc w:val="left"/>
      <w:pPr>
        <w:ind w:left="3953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4C4D7829"/>
    <w:multiLevelType w:val="hybridMultilevel"/>
    <w:tmpl w:val="A6743E0C"/>
    <w:lvl w:ilvl="0" w:tplc="FB745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9B2"/>
    <w:multiLevelType w:val="hybridMultilevel"/>
    <w:tmpl w:val="D6D42F9E"/>
    <w:lvl w:ilvl="0" w:tplc="B816A1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50161"/>
    <w:multiLevelType w:val="hybridMultilevel"/>
    <w:tmpl w:val="407C4A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B0E97"/>
    <w:multiLevelType w:val="hybridMultilevel"/>
    <w:tmpl w:val="C0E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D5700"/>
    <w:multiLevelType w:val="hybridMultilevel"/>
    <w:tmpl w:val="DACC54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4448">
    <w:abstractNumId w:val="7"/>
  </w:num>
  <w:num w:numId="2" w16cid:durableId="435640491">
    <w:abstractNumId w:val="8"/>
  </w:num>
  <w:num w:numId="3" w16cid:durableId="2055736085">
    <w:abstractNumId w:val="2"/>
  </w:num>
  <w:num w:numId="4" w16cid:durableId="396365822">
    <w:abstractNumId w:val="9"/>
  </w:num>
  <w:num w:numId="5" w16cid:durableId="260112645">
    <w:abstractNumId w:val="5"/>
  </w:num>
  <w:num w:numId="6" w16cid:durableId="909195045">
    <w:abstractNumId w:val="6"/>
  </w:num>
  <w:num w:numId="7" w16cid:durableId="1469127133">
    <w:abstractNumId w:val="1"/>
  </w:num>
  <w:num w:numId="8" w16cid:durableId="1175457465">
    <w:abstractNumId w:val="0"/>
  </w:num>
  <w:num w:numId="9" w16cid:durableId="1794250382">
    <w:abstractNumId w:val="4"/>
  </w:num>
  <w:num w:numId="10" w16cid:durableId="206440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72677"/>
    <w:rsid w:val="0008351F"/>
    <w:rsid w:val="00092334"/>
    <w:rsid w:val="000D728A"/>
    <w:rsid w:val="00160059"/>
    <w:rsid w:val="001A436B"/>
    <w:rsid w:val="001E08D0"/>
    <w:rsid w:val="001F0A8B"/>
    <w:rsid w:val="00200FFE"/>
    <w:rsid w:val="002152D8"/>
    <w:rsid w:val="00302C7D"/>
    <w:rsid w:val="00335A49"/>
    <w:rsid w:val="003C1FFD"/>
    <w:rsid w:val="003D12C3"/>
    <w:rsid w:val="00406FCA"/>
    <w:rsid w:val="00417FFE"/>
    <w:rsid w:val="0043580F"/>
    <w:rsid w:val="00484000"/>
    <w:rsid w:val="004A3192"/>
    <w:rsid w:val="004C0415"/>
    <w:rsid w:val="004D553F"/>
    <w:rsid w:val="004F1369"/>
    <w:rsid w:val="004F3F50"/>
    <w:rsid w:val="005A75DD"/>
    <w:rsid w:val="005C0A19"/>
    <w:rsid w:val="005C790A"/>
    <w:rsid w:val="005E5B75"/>
    <w:rsid w:val="00622A70"/>
    <w:rsid w:val="006B2C26"/>
    <w:rsid w:val="007228A0"/>
    <w:rsid w:val="00731CD2"/>
    <w:rsid w:val="0075367D"/>
    <w:rsid w:val="00792D87"/>
    <w:rsid w:val="007D38DB"/>
    <w:rsid w:val="007E3F2E"/>
    <w:rsid w:val="00804123"/>
    <w:rsid w:val="008333D5"/>
    <w:rsid w:val="00856DAD"/>
    <w:rsid w:val="00894376"/>
    <w:rsid w:val="00911CB7"/>
    <w:rsid w:val="009741B0"/>
    <w:rsid w:val="00983F8B"/>
    <w:rsid w:val="009A59D5"/>
    <w:rsid w:val="00A0788B"/>
    <w:rsid w:val="00A638A3"/>
    <w:rsid w:val="00A7168F"/>
    <w:rsid w:val="00A748BD"/>
    <w:rsid w:val="00A936B3"/>
    <w:rsid w:val="00AB155F"/>
    <w:rsid w:val="00AC73E2"/>
    <w:rsid w:val="00C30DEF"/>
    <w:rsid w:val="00C32482"/>
    <w:rsid w:val="00CA4054"/>
    <w:rsid w:val="00CE3166"/>
    <w:rsid w:val="00D063AA"/>
    <w:rsid w:val="00D10E8D"/>
    <w:rsid w:val="00D55DF5"/>
    <w:rsid w:val="00D603CB"/>
    <w:rsid w:val="00D72B19"/>
    <w:rsid w:val="00DC7F98"/>
    <w:rsid w:val="00DE296C"/>
    <w:rsid w:val="00DE39C9"/>
    <w:rsid w:val="00E44ABC"/>
    <w:rsid w:val="00E8358A"/>
    <w:rsid w:val="00E83608"/>
    <w:rsid w:val="00EA09F3"/>
    <w:rsid w:val="00F13956"/>
    <w:rsid w:val="00F403D2"/>
    <w:rsid w:val="00FB3C60"/>
    <w:rsid w:val="00FB534C"/>
    <w:rsid w:val="00FE0383"/>
    <w:rsid w:val="00FE0498"/>
    <w:rsid w:val="00FE2040"/>
    <w:rsid w:val="00FE54C1"/>
    <w:rsid w:val="00FE5C19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28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efaultParagraphFont"/>
    <w:rsid w:val="007228A0"/>
  </w:style>
  <w:style w:type="paragraph" w:customStyle="1" w:styleId="Default">
    <w:name w:val="Default"/>
    <w:link w:val="DefaultChar"/>
    <w:rsid w:val="007228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7228A0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622A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DefaultParagraphFont"/>
    <w:rsid w:val="00622A70"/>
  </w:style>
  <w:style w:type="character" w:styleId="Strong">
    <w:name w:val="Strong"/>
    <w:uiPriority w:val="22"/>
    <w:qFormat/>
    <w:rsid w:val="00622A70"/>
    <w:rPr>
      <w:b/>
      <w:bCs/>
    </w:rPr>
  </w:style>
  <w:style w:type="paragraph" w:styleId="Revision">
    <w:name w:val="Revision"/>
    <w:hidden/>
    <w:uiPriority w:val="99"/>
    <w:semiHidden/>
    <w:rsid w:val="00417FF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FE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8358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358A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9BDA-5ACA-4526-A1F9-E0FEC673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3</cp:revision>
  <cp:lastPrinted>2020-11-11T10:07:00Z</cp:lastPrinted>
  <dcterms:created xsi:type="dcterms:W3CDTF">2024-04-11T19:39:00Z</dcterms:created>
  <dcterms:modified xsi:type="dcterms:W3CDTF">2024-04-11T19:39:00Z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6b4508-cb92-454e-94db-b11b960bbce6_Enabled">
    <vt:lpwstr>true</vt:lpwstr>
  </property>
  <property fmtid="{D5CDD505-2E9C-101B-9397-08002B2CF9AE}" pid="3" name="MSIP_Label_eb6b4508-cb92-454e-94db-b11b960bbce6_SetDate">
    <vt:lpwstr>2024-03-19T18:27:36Z</vt:lpwstr>
  </property>
  <property fmtid="{D5CDD505-2E9C-101B-9397-08002B2CF9AE}" pid="4" name="MSIP_Label_eb6b4508-cb92-454e-94db-b11b960bbce6_Method">
    <vt:lpwstr>Standard</vt:lpwstr>
  </property>
  <property fmtid="{D5CDD505-2E9C-101B-9397-08002B2CF9AE}" pid="5" name="MSIP_Label_eb6b4508-cb92-454e-94db-b11b960bbce6_Name">
    <vt:lpwstr>defa4170-0d19-0005-0004-bc88714345d2</vt:lpwstr>
  </property>
  <property fmtid="{D5CDD505-2E9C-101B-9397-08002B2CF9AE}" pid="6" name="MSIP_Label_eb6b4508-cb92-454e-94db-b11b960bbce6_SiteId">
    <vt:lpwstr>6746c0ef-2e94-4efe-92c6-7b03929a4d0e</vt:lpwstr>
  </property>
  <property fmtid="{D5CDD505-2E9C-101B-9397-08002B2CF9AE}" pid="7" name="MSIP_Label_eb6b4508-cb92-454e-94db-b11b960bbce6_ActionId">
    <vt:lpwstr>a000c6bb-96d7-4c36-a75c-086e570bef8f</vt:lpwstr>
  </property>
  <property fmtid="{D5CDD505-2E9C-101B-9397-08002B2CF9AE}" pid="8" name="MSIP_Label_eb6b4508-cb92-454e-94db-b11b960bbce6_ContentBits">
    <vt:lpwstr>0</vt:lpwstr>
  </property>
</Properties>
</file>