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C2" w:rsidRPr="004455F1" w:rsidRDefault="00F031D5" w:rsidP="007E775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 xml:space="preserve"> </w:t>
      </w:r>
    </w:p>
    <w:p w:rsidR="002755BE" w:rsidRPr="004455F1" w:rsidRDefault="002755BE" w:rsidP="007E7754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 xml:space="preserve">Activele de producție ale </w:t>
      </w:r>
      <w:r w:rsidR="004455F1">
        <w:rPr>
          <w:rFonts w:ascii="Verdana" w:eastAsia="Times New Roman" w:hAnsi="Verdana"/>
          <w:b/>
          <w:bCs/>
          <w:color w:val="222222"/>
          <w:lang w:val="ro-RO"/>
        </w:rPr>
        <w:t>„</w:t>
      </w:r>
      <w:r w:rsidRPr="004455F1">
        <w:rPr>
          <w:rFonts w:ascii="Verdana" w:eastAsia="Times New Roman" w:hAnsi="Verdana"/>
          <w:b/>
          <w:bCs/>
          <w:color w:val="222222"/>
          <w:lang w:val="ro-RO"/>
        </w:rPr>
        <w:t>KMG International</w:t>
      </w:r>
      <w:r w:rsidR="004455F1">
        <w:rPr>
          <w:rFonts w:ascii="Verdana" w:eastAsia="Times New Roman" w:hAnsi="Verdana"/>
          <w:b/>
          <w:bCs/>
          <w:color w:val="222222"/>
          <w:lang w:val="ro-RO"/>
        </w:rPr>
        <w:t>”</w:t>
      </w:r>
      <w:r w:rsidRPr="004455F1">
        <w:rPr>
          <w:rFonts w:ascii="Verdana" w:eastAsia="Times New Roman" w:hAnsi="Verdana"/>
          <w:b/>
          <w:bCs/>
          <w:color w:val="222222"/>
          <w:lang w:val="ro-RO"/>
        </w:rPr>
        <w:t xml:space="preserve"> din România au încheiat anul 2018 cu noi recorduri operaționale</w:t>
      </w:r>
    </w:p>
    <w:p w:rsidR="002755BE" w:rsidRPr="004455F1" w:rsidRDefault="002755BE" w:rsidP="007E7754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222222"/>
          <w:lang w:val="ro-RO"/>
        </w:rPr>
      </w:pPr>
    </w:p>
    <w:p w:rsidR="00701AC2" w:rsidRPr="004455F1" w:rsidRDefault="00701AC2" w:rsidP="007E7754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>       </w:t>
      </w:r>
    </w:p>
    <w:p w:rsidR="002755BE" w:rsidRDefault="002755BE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În data de 5 februarie 2019, a avut loc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reuniunea</w:t>
      </w: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 anuală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a</w:t>
      </w: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 management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ului</w:t>
      </w: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 KMG International (Grupul sau KMGI),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în cadrul căreia au fost</w:t>
      </w:r>
      <w:r w:rsidR="004455F1">
        <w:rPr>
          <w:rFonts w:ascii="Verdana" w:eastAsia="Times New Roman" w:hAnsi="Verdana" w:cs="Times New Roman"/>
          <w:color w:val="222222"/>
          <w:lang w:val="ro-RO"/>
        </w:rPr>
        <w:t xml:space="preserve"> prezentate rezultatele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activități</w:t>
      </w:r>
      <w:r w:rsidR="004455F1">
        <w:rPr>
          <w:rFonts w:ascii="Verdana" w:eastAsia="Times New Roman" w:hAnsi="Verdana" w:cs="Times New Roman"/>
          <w:color w:val="222222"/>
          <w:lang w:val="ro-RO"/>
        </w:rPr>
        <w:t>i înregistrate de către Grup</w:t>
      </w: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 xml:space="preserve">în </w:t>
      </w:r>
      <w:r w:rsidRPr="004455F1">
        <w:rPr>
          <w:rFonts w:ascii="Verdana" w:eastAsia="Times New Roman" w:hAnsi="Verdana" w:cs="Times New Roman"/>
          <w:color w:val="222222"/>
          <w:lang w:val="ro-RO"/>
        </w:rPr>
        <w:t>2018 și a</w:t>
      </w:r>
      <w:r w:rsidR="004455F1">
        <w:rPr>
          <w:rFonts w:ascii="Verdana" w:eastAsia="Times New Roman" w:hAnsi="Verdana" w:cs="Times New Roman"/>
          <w:color w:val="222222"/>
          <w:lang w:val="ro-RO"/>
        </w:rPr>
        <w:t>u</w:t>
      </w:r>
      <w:r w:rsidRPr="004455F1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4455F1">
        <w:rPr>
          <w:rFonts w:ascii="Verdana" w:eastAsia="Times New Roman" w:hAnsi="Verdana" w:cs="Times New Roman"/>
          <w:color w:val="222222"/>
          <w:lang w:val="ro-RO"/>
        </w:rPr>
        <w:t xml:space="preserve">fost stabilite </w:t>
      </w:r>
      <w:r w:rsidR="004455F1" w:rsidRPr="004455F1">
        <w:rPr>
          <w:rFonts w:ascii="Verdana" w:eastAsia="Times New Roman" w:hAnsi="Verdana" w:cs="Times New Roman"/>
          <w:color w:val="222222"/>
          <w:lang w:val="ro-RO"/>
        </w:rPr>
        <w:t>principalele obiective pe termen mediu</w:t>
      </w:r>
      <w:r w:rsidR="004455F1">
        <w:rPr>
          <w:rFonts w:ascii="Verdana" w:eastAsia="Times New Roman" w:hAnsi="Verdana" w:cs="Times New Roman"/>
          <w:color w:val="222222"/>
          <w:lang w:val="ro-RO"/>
        </w:rPr>
        <w:t>.</w:t>
      </w:r>
    </w:p>
    <w:p w:rsidR="004455F1" w:rsidRPr="004455F1" w:rsidRDefault="004455F1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114A68" w:rsidRPr="007B5EFD" w:rsidRDefault="00E84EBD" w:rsidP="00114A68">
      <w:pPr>
        <w:pStyle w:val="PlainText"/>
        <w:ind w:firstLine="567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</w:t>
      </w:r>
      <w:r w:rsidR="00114A68">
        <w:t>rmitate</w:t>
      </w:r>
      <w:proofErr w:type="spellEnd"/>
      <w:r w:rsidR="00114A68">
        <w:t xml:space="preserve"> cu </w:t>
      </w:r>
      <w:proofErr w:type="spellStart"/>
      <w:r w:rsidR="00114A68">
        <w:t>datele</w:t>
      </w:r>
      <w:proofErr w:type="spellEnd"/>
      <w:r w:rsidR="00114A68">
        <w:t xml:space="preserve"> </w:t>
      </w:r>
      <w:proofErr w:type="spellStart"/>
      <w:r w:rsidR="00114A68">
        <w:t>contabilitatii</w:t>
      </w:r>
      <w:proofErr w:type="spellEnd"/>
      <w:r w:rsidR="00114A68">
        <w:t xml:space="preserve"> d</w:t>
      </w:r>
      <w:r>
        <w:t xml:space="preserve">e </w:t>
      </w:r>
      <w:proofErr w:type="spellStart"/>
      <w:r>
        <w:t>gestiune</w:t>
      </w:r>
      <w:proofErr w:type="spellEnd"/>
      <w:r>
        <w:t xml:space="preserve">, </w:t>
      </w:r>
      <w:r>
        <w:rPr>
          <w:lang w:val="ro-RO"/>
        </w:rPr>
        <w:t>î</w:t>
      </w:r>
      <w:r>
        <w:t xml:space="preserve">n </w:t>
      </w:r>
      <w:proofErr w:type="spellStart"/>
      <w:r>
        <w:t>anul</w:t>
      </w:r>
      <w:proofErr w:type="spellEnd"/>
      <w:r>
        <w:t xml:space="preserve"> 2018 </w:t>
      </w:r>
      <w:proofErr w:type="spellStart"/>
      <w:r>
        <w:t>Grupul</w:t>
      </w:r>
      <w:proofErr w:type="spellEnd"/>
      <w:r>
        <w:t xml:space="preserve"> KMGI </w:t>
      </w:r>
      <w:proofErr w:type="gramStart"/>
      <w:r>
        <w:t>a</w:t>
      </w:r>
      <w:proofErr w:type="gram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operaț</w:t>
      </w:r>
      <w:r w:rsidR="00114A68">
        <w:t>ionale</w:t>
      </w:r>
      <w:proofErr w:type="spellEnd"/>
      <w:r w:rsidR="00114A68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poz</w:t>
      </w:r>
      <w:r w:rsidR="00114A68">
        <w:t>itive</w:t>
      </w:r>
      <w:proofErr w:type="spellEnd"/>
      <w:r w:rsidR="00114A68"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 w:rsidR="00114A68">
        <w:t xml:space="preserve"> cu </w:t>
      </w:r>
      <w:proofErr w:type="spellStart"/>
      <w:r w:rsidR="00114A68">
        <w:t>rezultatele</w:t>
      </w:r>
      <w:proofErr w:type="spellEnd"/>
      <w:r w:rsidR="00114A68">
        <w:t xml:space="preserve"> </w:t>
      </w:r>
      <w:proofErr w:type="spellStart"/>
      <w:r w:rsidR="00114A68">
        <w:t>neauditate</w:t>
      </w:r>
      <w:proofErr w:type="spellEnd"/>
      <w:r w:rsidR="00114A68">
        <w:t xml:space="preserve"> ale </w:t>
      </w:r>
      <w:proofErr w:type="spellStart"/>
      <w:r w:rsidR="00114A68">
        <w:t>contabilit</w:t>
      </w:r>
      <w:r>
        <w:t>ăț</w:t>
      </w:r>
      <w:r w:rsidR="00114A68">
        <w:t>ii</w:t>
      </w:r>
      <w:proofErr w:type="spellEnd"/>
      <w:r w:rsidR="00114A68">
        <w:t xml:space="preserve"> de </w:t>
      </w:r>
      <w:proofErr w:type="spellStart"/>
      <w:r w:rsidR="00114A68">
        <w:t>gestiune</w:t>
      </w:r>
      <w:proofErr w:type="spellEnd"/>
      <w:r w:rsidR="00114A68">
        <w:t xml:space="preserve">, </w:t>
      </w:r>
      <w:proofErr w:type="spellStart"/>
      <w:r w:rsidR="00114A68">
        <w:t>profitul</w:t>
      </w:r>
      <w:proofErr w:type="spellEnd"/>
      <w:r w:rsidR="00114A68">
        <w:t xml:space="preserve"> </w:t>
      </w:r>
      <w:proofErr w:type="spellStart"/>
      <w:r w:rsidR="00114A68">
        <w:t>opera</w:t>
      </w:r>
      <w:r>
        <w:t>ț</w:t>
      </w:r>
      <w:r w:rsidR="00114A68">
        <w:t>ional</w:t>
      </w:r>
      <w:proofErr w:type="spellEnd"/>
      <w:r w:rsidR="00114A68">
        <w:t xml:space="preserve"> (EBITDA) a </w:t>
      </w:r>
      <w:proofErr w:type="spellStart"/>
      <w:r w:rsidR="00114A68">
        <w:t>atins</w:t>
      </w:r>
      <w:proofErr w:type="spellEnd"/>
      <w:r w:rsidR="00114A68">
        <w:t xml:space="preserve"> </w:t>
      </w:r>
      <w:proofErr w:type="spellStart"/>
      <w:r w:rsidR="00114A68">
        <w:t>nivelul</w:t>
      </w:r>
      <w:proofErr w:type="spellEnd"/>
      <w:r w:rsidR="00114A68">
        <w:t xml:space="preserve"> de 249</w:t>
      </w:r>
      <w:proofErr w:type="gramStart"/>
      <w:r w:rsidR="00114A68">
        <w:t>,7</w:t>
      </w:r>
      <w:proofErr w:type="gramEnd"/>
      <w:r w:rsidR="00114A68">
        <w:t xml:space="preserve"> </w:t>
      </w:r>
      <w:proofErr w:type="spellStart"/>
      <w:r>
        <w:t>milioane</w:t>
      </w:r>
      <w:proofErr w:type="spellEnd"/>
      <w:r w:rsidR="00114A68">
        <w:t xml:space="preserve"> </w:t>
      </w:r>
      <w:r>
        <w:t>USD</w:t>
      </w:r>
      <w:r w:rsidR="00114A68">
        <w:t xml:space="preserve">, </w:t>
      </w:r>
      <w:proofErr w:type="spellStart"/>
      <w:r w:rsidR="00114A68">
        <w:t>iar</w:t>
      </w:r>
      <w:proofErr w:type="spellEnd"/>
      <w:r w:rsidR="00114A68">
        <w:t xml:space="preserve"> </w:t>
      </w:r>
      <w:proofErr w:type="spellStart"/>
      <w:r w:rsidR="00114A68">
        <w:t>indicatorul</w:t>
      </w:r>
      <w:proofErr w:type="spellEnd"/>
      <w:r w:rsidR="00114A68">
        <w:t xml:space="preserve"> </w:t>
      </w:r>
      <w:proofErr w:type="spellStart"/>
      <w:r w:rsidR="00114A68">
        <w:t>profitului</w:t>
      </w:r>
      <w:proofErr w:type="spellEnd"/>
      <w:r w:rsidR="00114A68">
        <w:t xml:space="preserve"> net a </w:t>
      </w:r>
      <w:proofErr w:type="spellStart"/>
      <w:r>
        <w:t>fost</w:t>
      </w:r>
      <w:proofErr w:type="spellEnd"/>
      <w:r>
        <w:t xml:space="preserve"> de </w:t>
      </w:r>
      <w:r w:rsidR="00114A68">
        <w:t xml:space="preserve">86 </w:t>
      </w:r>
      <w:proofErr w:type="spellStart"/>
      <w:r w:rsidRPr="00E84EBD">
        <w:t>milioane</w:t>
      </w:r>
      <w:proofErr w:type="spellEnd"/>
      <w:r w:rsidRPr="00E84EBD">
        <w:t xml:space="preserve"> USD</w:t>
      </w:r>
      <w:r w:rsidR="00114A68">
        <w:t xml:space="preserve">. </w:t>
      </w:r>
    </w:p>
    <w:p w:rsidR="00114A68" w:rsidRDefault="00114A68" w:rsidP="006B5BF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701AC2" w:rsidRPr="004455F1" w:rsidRDefault="00241FFB" w:rsidP="006B5BF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În același timp, </w:t>
      </w:r>
      <w:r w:rsidR="00E84EBD">
        <w:rPr>
          <w:rFonts w:ascii="Verdana" w:eastAsia="Times New Roman" w:hAnsi="Verdana" w:cs="Times New Roman"/>
          <w:color w:val="222222"/>
          <w:lang w:val="ro-RO"/>
        </w:rPr>
        <w:t xml:space="preserve">în perioada de raportare, compania 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a </w:t>
      </w:r>
      <w:r w:rsidR="00E84EBD">
        <w:rPr>
          <w:rFonts w:ascii="Verdana" w:eastAsia="Times New Roman" w:hAnsi="Verdana" w:cs="Times New Roman"/>
          <w:color w:val="222222"/>
          <w:lang w:val="ro-RO"/>
        </w:rPr>
        <w:t>stabilit noi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recorduri de producție </w:t>
      </w:r>
      <w:r w:rsidR="00E84EBD">
        <w:rPr>
          <w:rFonts w:ascii="Verdana" w:eastAsia="Times New Roman" w:hAnsi="Verdana" w:cs="Times New Roman"/>
          <w:color w:val="222222"/>
          <w:lang w:val="ro-RO"/>
        </w:rPr>
        <w:t>în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toate segmentele de activitate – </w:t>
      </w:r>
      <w:r w:rsidR="00E84EBD">
        <w:rPr>
          <w:rFonts w:ascii="Verdana" w:eastAsia="Times New Roman" w:hAnsi="Verdana" w:cs="Times New Roman"/>
          <w:color w:val="222222"/>
          <w:lang w:val="ro-RO"/>
        </w:rPr>
        <w:t>rafinare</w:t>
      </w:r>
      <w:r w:rsidRPr="00241FFB">
        <w:rPr>
          <w:rFonts w:ascii="Verdana" w:eastAsia="Times New Roman" w:hAnsi="Verdana" w:cs="Times New Roman"/>
          <w:color w:val="222222"/>
          <w:lang w:val="ro-RO"/>
        </w:rPr>
        <w:t>, vânzare cu amănuntul</w:t>
      </w:r>
      <w:r w:rsidR="00E84EBD">
        <w:rPr>
          <w:rFonts w:ascii="Verdana" w:eastAsia="Times New Roman" w:hAnsi="Verdana" w:cs="Times New Roman"/>
          <w:color w:val="222222"/>
          <w:lang w:val="ro-RO"/>
        </w:rPr>
        <w:t xml:space="preserve"> (retail)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şi trading. Principalii </w:t>
      </w:r>
      <w:r w:rsidR="00E84EBD">
        <w:rPr>
          <w:rFonts w:ascii="Verdana" w:eastAsia="Times New Roman" w:hAnsi="Verdana" w:cs="Times New Roman"/>
          <w:color w:val="222222"/>
          <w:lang w:val="ro-RO"/>
        </w:rPr>
        <w:t>factori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6B5BF1">
        <w:rPr>
          <w:rFonts w:ascii="Verdana" w:eastAsia="Times New Roman" w:hAnsi="Verdana" w:cs="Times New Roman"/>
          <w:color w:val="222222"/>
          <w:lang w:val="ro-RO"/>
        </w:rPr>
        <w:t>operaționali</w:t>
      </w:r>
      <w:r w:rsidR="00640EE3">
        <w:rPr>
          <w:rFonts w:ascii="Verdana" w:eastAsia="Times New Roman" w:hAnsi="Verdana" w:cs="Times New Roman"/>
          <w:color w:val="222222"/>
          <w:lang w:val="ro-RO"/>
        </w:rPr>
        <w:t xml:space="preserve"> care au contribuit la aceste rezultate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au fost </w:t>
      </w:r>
      <w:r w:rsidR="006B5BF1">
        <w:rPr>
          <w:rFonts w:ascii="Verdana" w:eastAsia="Times New Roman" w:hAnsi="Verdana" w:cs="Times New Roman"/>
          <w:color w:val="222222"/>
          <w:lang w:val="ro-RO"/>
        </w:rPr>
        <w:t>majorarea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volumelor materiilor prime </w:t>
      </w:r>
      <w:r w:rsidR="00640EE3">
        <w:rPr>
          <w:rFonts w:ascii="Verdana" w:eastAsia="Times New Roman" w:hAnsi="Verdana" w:cs="Times New Roman"/>
          <w:color w:val="222222"/>
          <w:lang w:val="ro-RO"/>
        </w:rPr>
        <w:t xml:space="preserve">procesate 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și </w:t>
      </w:r>
      <w:r w:rsidR="006B5BF1">
        <w:rPr>
          <w:rFonts w:ascii="Verdana" w:eastAsia="Times New Roman" w:hAnsi="Verdana" w:cs="Times New Roman"/>
          <w:color w:val="222222"/>
          <w:lang w:val="ro-RO"/>
        </w:rPr>
        <w:t>a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produse</w:t>
      </w:r>
      <w:r w:rsidR="006B5BF1">
        <w:rPr>
          <w:rFonts w:ascii="Verdana" w:eastAsia="Times New Roman" w:hAnsi="Verdana" w:cs="Times New Roman"/>
          <w:color w:val="222222"/>
          <w:lang w:val="ro-RO"/>
        </w:rPr>
        <w:t>lor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finite, precum și creștere</w:t>
      </w:r>
      <w:r w:rsidR="006B5BF1">
        <w:rPr>
          <w:rFonts w:ascii="Verdana" w:eastAsia="Times New Roman" w:hAnsi="Verdana" w:cs="Times New Roman"/>
          <w:color w:val="222222"/>
          <w:lang w:val="ro-RO"/>
        </w:rPr>
        <w:t>a</w:t>
      </w:r>
      <w:r w:rsidRPr="00241FFB">
        <w:rPr>
          <w:rFonts w:ascii="Verdana" w:eastAsia="Times New Roman" w:hAnsi="Verdana" w:cs="Times New Roman"/>
          <w:color w:val="222222"/>
          <w:lang w:val="ro-RO"/>
        </w:rPr>
        <w:t xml:space="preserve"> semnificativă a vânzărilor de produse petroliere în România și în regiune</w:t>
      </w:r>
      <w:r w:rsidR="00701AC2" w:rsidRPr="004455F1">
        <w:rPr>
          <w:rFonts w:ascii="Verdana" w:eastAsia="Times New Roman" w:hAnsi="Verdana" w:cs="Times New Roman"/>
          <w:color w:val="222222"/>
          <w:lang w:val="ro-RO"/>
        </w:rPr>
        <w:t>.</w:t>
      </w:r>
    </w:p>
    <w:p w:rsidR="007E7754" w:rsidRDefault="00701AC2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b/>
          <w:bCs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> </w:t>
      </w:r>
    </w:p>
    <w:p w:rsidR="00114A68" w:rsidRDefault="00114A68" w:rsidP="00114A68">
      <w:pPr>
        <w:pStyle w:val="PlainText"/>
        <w:ind w:firstLine="567"/>
        <w:jc w:val="both"/>
      </w:pPr>
      <w:proofErr w:type="spellStart"/>
      <w:r>
        <w:t>În</w:t>
      </w:r>
      <w:proofErr w:type="spellEnd"/>
      <w:r>
        <w:t xml:space="preserve"> </w:t>
      </w:r>
      <w:r w:rsidR="00640EE3">
        <w:t xml:space="preserve">2018, </w:t>
      </w:r>
      <w:proofErr w:type="spellStart"/>
      <w:r w:rsidR="00640EE3">
        <w:t>r</w:t>
      </w:r>
      <w:r>
        <w:t>afin</w:t>
      </w:r>
      <w:r w:rsidR="00640EE3">
        <w:t>ă</w:t>
      </w:r>
      <w:r>
        <w:t>ria</w:t>
      </w:r>
      <w:proofErr w:type="spellEnd"/>
      <w:r>
        <w:t xml:space="preserve"> </w:t>
      </w:r>
      <w:proofErr w:type="spellStart"/>
      <w:r>
        <w:t>Petromidia</w:t>
      </w:r>
      <w:proofErr w:type="spellEnd"/>
      <w:r>
        <w:t xml:space="preserve">,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activ</w:t>
      </w:r>
      <w:proofErr w:type="spellEnd"/>
      <w:r>
        <w:t xml:space="preserve"> al </w:t>
      </w:r>
      <w:proofErr w:type="spellStart"/>
      <w:r>
        <w:t>Grupului</w:t>
      </w:r>
      <w:proofErr w:type="spellEnd"/>
      <w:r>
        <w:t xml:space="preserve"> </w:t>
      </w:r>
      <w:proofErr w:type="spellStart"/>
      <w:r w:rsidR="00640EE3">
        <w:t>ș</w:t>
      </w:r>
      <w:r>
        <w:t>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 w:rsidR="00640EE3">
        <w:t>cele</w:t>
      </w:r>
      <w:proofErr w:type="spellEnd"/>
      <w:r w:rsidR="00640EE3">
        <w:t xml:space="preserve"> </w:t>
      </w:r>
      <w:proofErr w:type="spellStart"/>
      <w:r w:rsidR="00640EE3">
        <w:t>mai</w:t>
      </w:r>
      <w:proofErr w:type="spellEnd"/>
      <w:r w:rsidR="00640EE3">
        <w:t xml:space="preserve"> </w:t>
      </w:r>
      <w:proofErr w:type="spellStart"/>
      <w:r w:rsidR="00640EE3">
        <w:t>moderne</w:t>
      </w:r>
      <w:proofErr w:type="spellEnd"/>
      <w:r w:rsidR="00640EE3">
        <w:t xml:space="preserve"> </w:t>
      </w:r>
      <w:proofErr w:type="spellStart"/>
      <w:r>
        <w:t>unit</w:t>
      </w:r>
      <w:r w:rsidR="00640EE3">
        <w:t>ăți</w:t>
      </w:r>
      <w:proofErr w:type="spellEnd"/>
      <w:r>
        <w:t xml:space="preserve"> de </w:t>
      </w:r>
      <w:proofErr w:type="spellStart"/>
      <w:r>
        <w:t>procesare</w:t>
      </w:r>
      <w:proofErr w:type="spellEnd"/>
      <w:r>
        <w:t xml:space="preserve"> a </w:t>
      </w:r>
      <w:proofErr w:type="spellStart"/>
      <w:r w:rsidR="00640EE3">
        <w:t>ț</w:t>
      </w:r>
      <w:r>
        <w:t>i</w:t>
      </w:r>
      <w:r w:rsidR="00640EE3">
        <w:t>ț</w:t>
      </w:r>
      <w:r>
        <w:t>eiului</w:t>
      </w:r>
      <w:proofErr w:type="spellEnd"/>
      <w:r>
        <w:t xml:space="preserve"> </w:t>
      </w:r>
      <w:r w:rsidR="00640EE3">
        <w:t>d</w:t>
      </w:r>
      <w:r>
        <w:t xml:space="preserve">in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M</w:t>
      </w:r>
      <w:r w:rsidR="00640EE3">
        <w:t>ă</w:t>
      </w:r>
      <w:r>
        <w:t>rii</w:t>
      </w:r>
      <w:proofErr w:type="spellEnd"/>
      <w:r>
        <w:t xml:space="preserve"> </w:t>
      </w:r>
      <w:proofErr w:type="spellStart"/>
      <w:r>
        <w:t>Negre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atins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eficien</w:t>
      </w:r>
      <w:r w:rsidR="00640EE3">
        <w:t>ță</w:t>
      </w:r>
      <w:proofErr w:type="spellEnd"/>
      <w:r>
        <w:t xml:space="preserve"> </w:t>
      </w:r>
      <w:proofErr w:type="spellStart"/>
      <w:r>
        <w:t>opera</w:t>
      </w:r>
      <w:r w:rsidR="00640EE3">
        <w:t>ț</w:t>
      </w:r>
      <w:r>
        <w:t>ional</w:t>
      </w:r>
      <w:r w:rsidR="00640EE3">
        <w:t>ă</w:t>
      </w:r>
      <w:proofErr w:type="spellEnd"/>
      <w:r>
        <w:t>.</w:t>
      </w:r>
      <w:r w:rsidR="00640EE3">
        <w:t xml:space="preserve"> </w:t>
      </w:r>
      <w:proofErr w:type="spellStart"/>
      <w:r w:rsidR="00640EE3">
        <w:t>Volumul</w:t>
      </w:r>
      <w:proofErr w:type="spellEnd"/>
      <w:r w:rsidR="00640EE3">
        <w:t xml:space="preserve"> total de </w:t>
      </w:r>
      <w:proofErr w:type="spellStart"/>
      <w:r w:rsidR="00640EE3">
        <w:t>materii</w:t>
      </w:r>
      <w:proofErr w:type="spellEnd"/>
      <w:r w:rsidR="00640EE3">
        <w:t xml:space="preserve"> prime</w:t>
      </w:r>
      <w:r>
        <w:t xml:space="preserve"> </w:t>
      </w:r>
      <w:proofErr w:type="spellStart"/>
      <w:r>
        <w:t>procesate</w:t>
      </w:r>
      <w:proofErr w:type="spellEnd"/>
      <w:r>
        <w:t xml:space="preserve"> </w:t>
      </w:r>
      <w:r w:rsidR="00640EE3">
        <w:t xml:space="preserve">de </w:t>
      </w:r>
      <w:proofErr w:type="spellStart"/>
      <w:r w:rsidR="00640EE3">
        <w:t>r</w:t>
      </w:r>
      <w:r>
        <w:t>afin</w:t>
      </w:r>
      <w:r w:rsidR="00640EE3">
        <w:t>ăria</w:t>
      </w:r>
      <w:proofErr w:type="spellEnd"/>
      <w:r w:rsidR="00640EE3">
        <w:t xml:space="preserve"> </w:t>
      </w:r>
      <w:proofErr w:type="spellStart"/>
      <w:r w:rsidR="00640EE3">
        <w:t>Petromidia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5,9 </w:t>
      </w:r>
      <w:proofErr w:type="spellStart"/>
      <w:r w:rsidR="00640EE3">
        <w:t>milioane</w:t>
      </w:r>
      <w:proofErr w:type="spellEnd"/>
      <w:r w:rsidR="00640EE3">
        <w:t xml:space="preserve"> de </w:t>
      </w:r>
      <w:r>
        <w:t xml:space="preserve">tone, cu 1 </w:t>
      </w:r>
      <w:proofErr w:type="spellStart"/>
      <w:r w:rsidR="00640EE3">
        <w:t>milion</w:t>
      </w:r>
      <w:proofErr w:type="spellEnd"/>
      <w:r>
        <w:t xml:space="preserve"> de tone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planificat</w:t>
      </w:r>
      <w:proofErr w:type="spellEnd"/>
      <w:r w:rsidR="00640EE3">
        <w:t>,</w:t>
      </w:r>
      <w:r>
        <w:t xml:space="preserve"> </w:t>
      </w:r>
      <w:proofErr w:type="spellStart"/>
      <w:r>
        <w:t>reprez</w:t>
      </w:r>
      <w:r w:rsidR="00640EE3">
        <w:t>entând</w:t>
      </w:r>
      <w:proofErr w:type="spellEnd"/>
      <w:r w:rsidR="00640EE3">
        <w:t xml:space="preserve"> </w:t>
      </w:r>
      <w:proofErr w:type="spellStart"/>
      <w:r w:rsidR="00640EE3">
        <w:t>cel</w:t>
      </w:r>
      <w:proofErr w:type="spellEnd"/>
      <w:r w:rsidR="00640EE3">
        <w:t xml:space="preserve"> </w:t>
      </w:r>
      <w:proofErr w:type="spellStart"/>
      <w:r w:rsidR="00640EE3">
        <w:t>mai</w:t>
      </w:r>
      <w:proofErr w:type="spellEnd"/>
      <w:r w:rsidR="00640EE3">
        <w:t xml:space="preserve"> </w:t>
      </w:r>
      <w:proofErr w:type="spellStart"/>
      <w:r w:rsidR="00640EE3">
        <w:t>ridicat</w:t>
      </w:r>
      <w:proofErr w:type="spellEnd"/>
      <w:r w:rsidR="00640EE3">
        <w:t xml:space="preserve"> </w:t>
      </w:r>
      <w:proofErr w:type="spellStart"/>
      <w:r w:rsidR="00640EE3">
        <w:t>volum</w:t>
      </w:r>
      <w:proofErr w:type="spellEnd"/>
      <w:r>
        <w:t xml:space="preserve"> de </w:t>
      </w:r>
      <w:proofErr w:type="spellStart"/>
      <w:r w:rsidR="00640EE3">
        <w:t>materii</w:t>
      </w:r>
      <w:proofErr w:type="spellEnd"/>
      <w:r w:rsidR="00640EE3">
        <w:t xml:space="preserve"> prime </w:t>
      </w:r>
      <w:proofErr w:type="spellStart"/>
      <w:r w:rsidR="00640EE3">
        <w:t>prelucrate</w:t>
      </w:r>
      <w:proofErr w:type="spellEnd"/>
      <w:r>
        <w:t xml:space="preserve"> </w:t>
      </w:r>
      <w:proofErr w:type="spellStart"/>
      <w:r w:rsidR="00640EE3">
        <w:t>în</w:t>
      </w:r>
      <w:proofErr w:type="spellEnd"/>
      <w:r w:rsidR="00640EE3">
        <w:t xml:space="preserve"> </w:t>
      </w:r>
      <w:proofErr w:type="spellStart"/>
      <w:r w:rsidR="00640EE3">
        <w:t>cei</w:t>
      </w:r>
      <w:proofErr w:type="spellEnd"/>
      <w:r w:rsidR="00640EE3">
        <w:t xml:space="preserve"> 4</w:t>
      </w:r>
      <w:r>
        <w:t xml:space="preserve">0 de </w:t>
      </w:r>
      <w:proofErr w:type="spellStart"/>
      <w:r>
        <w:t>ani</w:t>
      </w:r>
      <w:proofErr w:type="spellEnd"/>
      <w:r>
        <w:t xml:space="preserve"> de </w:t>
      </w:r>
      <w:proofErr w:type="spellStart"/>
      <w:r>
        <w:t>func</w:t>
      </w:r>
      <w:r w:rsidR="00640EE3">
        <w:t>ț</w:t>
      </w:r>
      <w:r>
        <w:t>ionare</w:t>
      </w:r>
      <w:proofErr w:type="spellEnd"/>
      <w:r>
        <w:t xml:space="preserve"> a </w:t>
      </w:r>
      <w:proofErr w:type="spellStart"/>
      <w:r>
        <w:t>rafin</w:t>
      </w:r>
      <w:r w:rsidR="00640EE3">
        <w:t>ă</w:t>
      </w:r>
      <w:r>
        <w:t>riei</w:t>
      </w:r>
      <w:proofErr w:type="spellEnd"/>
      <w:r>
        <w:t xml:space="preserve">.         </w:t>
      </w:r>
    </w:p>
    <w:p w:rsidR="00114A68" w:rsidRPr="00114A68" w:rsidRDefault="00114A68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b/>
          <w:bCs/>
          <w:color w:val="222222"/>
        </w:rPr>
      </w:pPr>
    </w:p>
    <w:p w:rsidR="004C2684" w:rsidRPr="004455F1" w:rsidRDefault="004C2684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color w:val="222222"/>
          <w:lang w:val="ro-RO"/>
        </w:rPr>
      </w:pPr>
    </w:p>
    <w:p w:rsidR="00701AC2" w:rsidRPr="004455F1" w:rsidRDefault="00733E9F" w:rsidP="004878F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Volumul produselor finite </w:t>
      </w:r>
      <w:r w:rsidR="008B77E7">
        <w:rPr>
          <w:rFonts w:ascii="Verdana" w:eastAsia="Times New Roman" w:hAnsi="Verdana" w:cs="Times New Roman"/>
          <w:color w:val="222222"/>
          <w:lang w:val="ro-RO"/>
        </w:rPr>
        <w:t>(</w:t>
      </w:r>
      <w:r w:rsidR="008B77E7" w:rsidRPr="00AD27A9">
        <w:rPr>
          <w:rFonts w:ascii="Verdana" w:eastAsia="Times New Roman" w:hAnsi="Verdana" w:cs="Times New Roman"/>
          <w:color w:val="222222"/>
          <w:lang w:val="ro-RO"/>
        </w:rPr>
        <w:t>benzină, motorină și combustibil de aviație</w:t>
      </w:r>
      <w:r w:rsidR="008B77E7">
        <w:rPr>
          <w:rFonts w:ascii="Verdana" w:eastAsia="Times New Roman" w:hAnsi="Verdana" w:cs="Times New Roman"/>
          <w:color w:val="222222"/>
          <w:lang w:val="ro-RO"/>
        </w:rPr>
        <w:t>)</w:t>
      </w:r>
      <w:r w:rsidR="008B77E7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>
        <w:rPr>
          <w:rFonts w:ascii="Verdana" w:eastAsia="Times New Roman" w:hAnsi="Verdana" w:cs="Times New Roman"/>
          <w:color w:val="222222"/>
          <w:lang w:val="ro-RO"/>
        </w:rPr>
        <w:t xml:space="preserve">obținute </w:t>
      </w:r>
      <w:r w:rsidRPr="00871D62">
        <w:rPr>
          <w:rFonts w:ascii="Verdana" w:eastAsia="Times New Roman" w:hAnsi="Verdana" w:cs="Times New Roman"/>
          <w:color w:val="222222"/>
          <w:lang w:val="ro-RO"/>
        </w:rPr>
        <w:t>în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cadrul c</w:t>
      </w:r>
      <w:r w:rsidRPr="00733E9F">
        <w:rPr>
          <w:rFonts w:ascii="Verdana" w:eastAsia="Times New Roman" w:hAnsi="Verdana" w:cs="Times New Roman"/>
          <w:color w:val="222222"/>
          <w:lang w:val="ro-RO"/>
        </w:rPr>
        <w:t>el</w:t>
      </w:r>
      <w:r>
        <w:rPr>
          <w:rFonts w:ascii="Verdana" w:eastAsia="Times New Roman" w:hAnsi="Verdana" w:cs="Times New Roman"/>
          <w:color w:val="222222"/>
          <w:lang w:val="ro-RO"/>
        </w:rPr>
        <w:t>or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trei </w:t>
      </w:r>
      <w:r>
        <w:rPr>
          <w:rFonts w:ascii="Verdana" w:eastAsia="Times New Roman" w:hAnsi="Verdana" w:cs="Times New Roman"/>
          <w:color w:val="222222"/>
          <w:lang w:val="ro-RO"/>
        </w:rPr>
        <w:t>unități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de producție </w:t>
      </w:r>
      <w:r w:rsidR="00640EE3">
        <w:rPr>
          <w:rFonts w:ascii="Verdana" w:eastAsia="Times New Roman" w:hAnsi="Verdana" w:cs="Times New Roman"/>
          <w:color w:val="222222"/>
          <w:lang w:val="ro-RO"/>
        </w:rPr>
        <w:t>ale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640EE3">
        <w:rPr>
          <w:rFonts w:ascii="Verdana" w:eastAsia="Times New Roman" w:hAnsi="Verdana" w:cs="Times New Roman"/>
          <w:color w:val="222222"/>
          <w:lang w:val="ro-RO"/>
        </w:rPr>
        <w:t>KMG International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din România </w:t>
      </w:r>
      <w:r>
        <w:rPr>
          <w:rFonts w:ascii="Verdana" w:eastAsia="Times New Roman" w:hAnsi="Verdana" w:cs="Times New Roman"/>
          <w:color w:val="222222"/>
          <w:lang w:val="ro-RO"/>
        </w:rPr>
        <w:t>(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rafinăriile Petromidia și Vega, precum și </w:t>
      </w:r>
      <w:r w:rsidR="00640EE3">
        <w:rPr>
          <w:rFonts w:ascii="Verdana" w:eastAsia="Times New Roman" w:hAnsi="Verdana" w:cs="Times New Roman"/>
          <w:color w:val="222222"/>
          <w:lang w:val="ro-RO"/>
        </w:rPr>
        <w:t>unitatea de petrochimie</w:t>
      </w:r>
      <w:r>
        <w:rPr>
          <w:rFonts w:ascii="Verdana" w:eastAsia="Times New Roman" w:hAnsi="Verdana" w:cs="Times New Roman"/>
          <w:color w:val="222222"/>
          <w:lang w:val="ro-RO"/>
        </w:rPr>
        <w:t>)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a</w:t>
      </w:r>
      <w:r w:rsidR="00B21C99">
        <w:rPr>
          <w:rFonts w:ascii="Verdana" w:eastAsia="Times New Roman" w:hAnsi="Verdana" w:cs="Times New Roman"/>
          <w:color w:val="222222"/>
          <w:lang w:val="ro-RO"/>
        </w:rPr>
        <w:t xml:space="preserve"> atins un nivel record de </w:t>
      </w:r>
      <w:r w:rsidRPr="00733E9F">
        <w:rPr>
          <w:rFonts w:ascii="Verdana" w:eastAsia="Times New Roman" w:hAnsi="Verdana" w:cs="Times New Roman"/>
          <w:color w:val="222222"/>
          <w:lang w:val="ro-RO"/>
        </w:rPr>
        <w:t>5,8 milioane de tone</w:t>
      </w:r>
      <w:r w:rsidR="00640EE3" w:rsidRPr="00640EE3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640EE3" w:rsidRPr="00871D62">
        <w:rPr>
          <w:rFonts w:ascii="Verdana" w:eastAsia="Times New Roman" w:hAnsi="Verdana" w:cs="Times New Roman"/>
          <w:color w:val="222222"/>
          <w:lang w:val="ro-RO"/>
        </w:rPr>
        <w:t>în</w:t>
      </w:r>
      <w:r w:rsidR="00640EE3" w:rsidRPr="00733E9F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640EE3">
        <w:rPr>
          <w:rFonts w:ascii="Verdana" w:eastAsia="Times New Roman" w:hAnsi="Verdana" w:cs="Times New Roman"/>
          <w:color w:val="222222"/>
          <w:lang w:val="ro-RO"/>
        </w:rPr>
        <w:t>2018</w:t>
      </w:r>
      <w:r w:rsidRPr="00733E9F">
        <w:rPr>
          <w:rFonts w:ascii="Verdana" w:eastAsia="Times New Roman" w:hAnsi="Verdana" w:cs="Times New Roman"/>
          <w:color w:val="222222"/>
          <w:lang w:val="ro-RO"/>
        </w:rPr>
        <w:t>.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De asemenea, </w:t>
      </w:r>
      <w:r w:rsidR="008B77E7">
        <w:rPr>
          <w:rFonts w:ascii="Verdana" w:eastAsia="Times New Roman" w:hAnsi="Verdana" w:cs="Times New Roman"/>
          <w:color w:val="222222"/>
          <w:lang w:val="ro-RO"/>
        </w:rPr>
        <w:t>au fost înregistate noi recorduri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în </w:t>
      </w:r>
      <w:r w:rsidR="008B77E7">
        <w:rPr>
          <w:rFonts w:ascii="Verdana" w:eastAsia="Times New Roman" w:hAnsi="Verdana" w:cs="Times New Roman"/>
          <w:color w:val="222222"/>
          <w:lang w:val="ro-RO"/>
        </w:rPr>
        <w:t>activitatea de producție a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principalelor produse petrochimice </w:t>
      </w:r>
      <w:r w:rsidR="00267695">
        <w:rPr>
          <w:rFonts w:ascii="Verdana" w:eastAsia="Times New Roman" w:hAnsi="Verdana" w:cs="Times New Roman"/>
          <w:color w:val="222222"/>
          <w:lang w:val="ro-RO"/>
        </w:rPr>
        <w:t>–</w:t>
      </w:r>
      <w:r w:rsidRPr="00733E9F">
        <w:rPr>
          <w:rFonts w:ascii="Verdana" w:eastAsia="Times New Roman" w:hAnsi="Verdana" w:cs="Times New Roman"/>
          <w:color w:val="222222"/>
          <w:lang w:val="ro-RO"/>
        </w:rPr>
        <w:t xml:space="preserve"> polipropilenă, bitum și hexan</w:t>
      </w:r>
      <w:r w:rsidR="00701AC2" w:rsidRPr="004455F1">
        <w:rPr>
          <w:rFonts w:ascii="Verdana" w:eastAsia="Times New Roman" w:hAnsi="Verdana" w:cs="Times New Roman"/>
          <w:color w:val="222222"/>
          <w:lang w:val="ro-RO"/>
        </w:rPr>
        <w:t>. </w:t>
      </w:r>
    </w:p>
    <w:p w:rsidR="00701AC2" w:rsidRPr="004455F1" w:rsidRDefault="00701AC2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701AC2" w:rsidRDefault="007F780B" w:rsidP="002B6B3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7F780B">
        <w:rPr>
          <w:rFonts w:ascii="Verdana" w:eastAsia="Times New Roman" w:hAnsi="Verdana" w:cs="Times New Roman"/>
          <w:color w:val="222222"/>
          <w:lang w:val="ro-RO"/>
        </w:rPr>
        <w:t xml:space="preserve">O creștere semnificativă </w:t>
      </w:r>
      <w:r>
        <w:rPr>
          <w:rFonts w:ascii="Verdana" w:eastAsia="Times New Roman" w:hAnsi="Verdana" w:cs="Times New Roman"/>
          <w:color w:val="222222"/>
          <w:lang w:val="ro-RO"/>
        </w:rPr>
        <w:t>a vânzărilor</w:t>
      </w:r>
      <w:r w:rsidRPr="007F780B">
        <w:rPr>
          <w:rFonts w:ascii="Verdana" w:eastAsia="Times New Roman" w:hAnsi="Verdana" w:cs="Times New Roman"/>
          <w:color w:val="222222"/>
          <w:lang w:val="ro-RO"/>
        </w:rPr>
        <w:t xml:space="preserve"> a fost înregistrată pe segmentul </w:t>
      </w:r>
      <w:r w:rsidRPr="007F780B">
        <w:rPr>
          <w:rFonts w:ascii="Verdana" w:eastAsia="Times New Roman" w:hAnsi="Verdana" w:cs="Times New Roman"/>
          <w:b/>
          <w:color w:val="222222"/>
          <w:lang w:val="ro-RO"/>
        </w:rPr>
        <w:t>comerțului cu amănuntul</w:t>
      </w:r>
      <w:r w:rsidR="008B77E7">
        <w:rPr>
          <w:rFonts w:ascii="Verdana" w:eastAsia="Times New Roman" w:hAnsi="Verdana" w:cs="Times New Roman"/>
          <w:b/>
          <w:color w:val="222222"/>
          <w:lang w:val="ro-RO"/>
        </w:rPr>
        <w:t xml:space="preserve"> (retail)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. Vânzările </w:t>
      </w:r>
      <w:r w:rsidR="008B77E7">
        <w:rPr>
          <w:rFonts w:ascii="Verdana" w:eastAsia="Times New Roman" w:hAnsi="Verdana" w:cs="Times New Roman"/>
          <w:color w:val="222222"/>
          <w:lang w:val="ro-RO"/>
        </w:rPr>
        <w:t>totale (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>cu ridicata și cu amănuntul</w:t>
      </w:r>
      <w:r w:rsidR="008B77E7">
        <w:rPr>
          <w:rFonts w:ascii="Verdana" w:eastAsia="Times New Roman" w:hAnsi="Verdana" w:cs="Times New Roman"/>
          <w:color w:val="222222"/>
          <w:lang w:val="ro-RO"/>
        </w:rPr>
        <w:t>)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>
        <w:rPr>
          <w:rFonts w:ascii="Verdana" w:eastAsia="Times New Roman" w:hAnsi="Verdana" w:cs="Times New Roman"/>
          <w:color w:val="222222"/>
          <w:lang w:val="ro-RO"/>
        </w:rPr>
        <w:t>pe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canale</w:t>
      </w:r>
      <w:r>
        <w:rPr>
          <w:rFonts w:ascii="Verdana" w:eastAsia="Times New Roman" w:hAnsi="Verdana" w:cs="Times New Roman"/>
          <w:color w:val="222222"/>
          <w:lang w:val="ro-RO"/>
        </w:rPr>
        <w:t>le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8B77E7">
        <w:rPr>
          <w:rFonts w:ascii="Verdana" w:eastAsia="Times New Roman" w:hAnsi="Verdana" w:cs="Times New Roman"/>
          <w:color w:val="222222"/>
          <w:lang w:val="ro-RO"/>
        </w:rPr>
        <w:t>de distribuție</w:t>
      </w:r>
      <w:r w:rsidR="008B77E7" w:rsidRPr="004878F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>interne și externe</w:t>
      </w:r>
      <w:r w:rsidR="008B77E7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s-au ridicat la 3,35 milioane de tone, ceea ce reprezintă cu 59 </w:t>
      </w:r>
      <w:r w:rsidR="008B77E7">
        <w:rPr>
          <w:rFonts w:ascii="Verdana" w:eastAsia="Times New Roman" w:hAnsi="Verdana" w:cs="Times New Roman"/>
          <w:color w:val="222222"/>
          <w:lang w:val="ro-RO"/>
        </w:rPr>
        <w:t xml:space="preserve">de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mii </w:t>
      </w:r>
      <w:r w:rsidR="008B77E7">
        <w:rPr>
          <w:rFonts w:ascii="Verdana" w:eastAsia="Times New Roman" w:hAnsi="Verdana" w:cs="Times New Roman"/>
          <w:color w:val="222222"/>
          <w:lang w:val="ro-RO"/>
        </w:rPr>
        <w:t xml:space="preserve">de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>tone mai mult decât în 2017 și cu 1,25 milioane de tone mai mult decât în 2012. În același timp, profitul obținut din vânz</w:t>
      </w:r>
      <w:r>
        <w:rPr>
          <w:rFonts w:ascii="Verdana" w:eastAsia="Times New Roman" w:hAnsi="Verdana" w:cs="Times New Roman"/>
          <w:color w:val="222222"/>
          <w:lang w:val="ro-RO"/>
        </w:rPr>
        <w:t>area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cu amănuntul </w:t>
      </w:r>
      <w:r>
        <w:rPr>
          <w:rFonts w:ascii="Verdana" w:eastAsia="Times New Roman" w:hAnsi="Verdana" w:cs="Times New Roman"/>
          <w:color w:val="222222"/>
          <w:lang w:val="ro-RO"/>
        </w:rPr>
        <w:t xml:space="preserve">a produselor </w:t>
      </w:r>
      <w:r w:rsidRPr="007F780B">
        <w:rPr>
          <w:rFonts w:ascii="Verdana" w:eastAsia="Times New Roman" w:hAnsi="Verdana" w:cs="Times New Roman"/>
          <w:color w:val="222222"/>
          <w:lang w:val="ro-RO"/>
        </w:rPr>
        <w:t>nepetroliere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7F780B">
        <w:rPr>
          <w:rFonts w:ascii="Verdana" w:eastAsia="Times New Roman" w:hAnsi="Verdana" w:cs="Times New Roman"/>
          <w:color w:val="222222"/>
          <w:lang w:val="ro-RO"/>
        </w:rPr>
        <w:t xml:space="preserve">a atins cifra de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21 de milioane </w:t>
      </w:r>
      <w:r w:rsidR="008E0C43">
        <w:rPr>
          <w:rFonts w:ascii="Verdana" w:eastAsia="Times New Roman" w:hAnsi="Verdana" w:cs="Times New Roman"/>
          <w:color w:val="222222"/>
          <w:lang w:val="ro-RO"/>
        </w:rPr>
        <w:t>USD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, </w:t>
      </w:r>
      <w:r>
        <w:rPr>
          <w:rFonts w:ascii="Verdana" w:eastAsia="Times New Roman" w:hAnsi="Verdana" w:cs="Times New Roman"/>
          <w:color w:val="222222"/>
          <w:lang w:val="ro-RO"/>
        </w:rPr>
        <w:t>cu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28% mai </w:t>
      </w:r>
      <w:r>
        <w:rPr>
          <w:rFonts w:ascii="Verdana" w:eastAsia="Times New Roman" w:hAnsi="Verdana" w:cs="Times New Roman"/>
          <w:color w:val="222222"/>
          <w:lang w:val="ro-RO"/>
        </w:rPr>
        <w:t>mult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decât anul trecut</w:t>
      </w:r>
      <w:r w:rsidR="00A977AD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A977AD" w:rsidRPr="004878F4">
        <w:rPr>
          <w:rFonts w:ascii="Verdana" w:eastAsia="Times New Roman" w:hAnsi="Verdana" w:cs="Times New Roman"/>
          <w:color w:val="222222"/>
          <w:lang w:val="ro-RO"/>
        </w:rPr>
        <w:t xml:space="preserve">(6,3 milioane </w:t>
      </w:r>
      <w:r w:rsidR="008E0C43">
        <w:rPr>
          <w:rFonts w:ascii="Verdana" w:eastAsia="Times New Roman" w:hAnsi="Verdana" w:cs="Times New Roman"/>
          <w:color w:val="222222"/>
          <w:lang w:val="ro-RO"/>
        </w:rPr>
        <w:t>USD</w:t>
      </w:r>
      <w:r w:rsidR="00A977AD" w:rsidRPr="004878F4">
        <w:rPr>
          <w:rFonts w:ascii="Verdana" w:eastAsia="Times New Roman" w:hAnsi="Verdana" w:cs="Times New Roman"/>
          <w:color w:val="222222"/>
          <w:lang w:val="ro-RO"/>
        </w:rPr>
        <w:t xml:space="preserve">) 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și </w:t>
      </w:r>
      <w:r>
        <w:rPr>
          <w:rFonts w:ascii="Verdana" w:eastAsia="Times New Roman" w:hAnsi="Verdana" w:cs="Times New Roman"/>
          <w:color w:val="222222"/>
          <w:lang w:val="ro-RO"/>
        </w:rPr>
        <w:t>de peste dou</w:t>
      </w:r>
      <w:r w:rsidRPr="004878F4">
        <w:rPr>
          <w:rFonts w:ascii="Verdana" w:eastAsia="Times New Roman" w:hAnsi="Verdana" w:cs="Times New Roman"/>
          <w:color w:val="222222"/>
          <w:lang w:val="ro-RO"/>
        </w:rPr>
        <w:t>ă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ori mai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mult decât </w:t>
      </w:r>
      <w:r w:rsidR="00F56383">
        <w:rPr>
          <w:rFonts w:ascii="Verdana" w:eastAsia="Times New Roman" w:hAnsi="Verdana" w:cs="Times New Roman"/>
          <w:color w:val="222222"/>
          <w:lang w:val="ro-RO"/>
        </w:rPr>
        <w:t>în</w:t>
      </w:r>
      <w:r w:rsidR="004878F4" w:rsidRPr="004878F4">
        <w:rPr>
          <w:rFonts w:ascii="Verdana" w:eastAsia="Times New Roman" w:hAnsi="Verdana" w:cs="Times New Roman"/>
          <w:color w:val="222222"/>
          <w:lang w:val="ro-RO"/>
        </w:rPr>
        <w:t xml:space="preserve"> 2012</w:t>
      </w:r>
      <w:r w:rsidR="002B6B34">
        <w:rPr>
          <w:rFonts w:ascii="Verdana" w:eastAsia="Times New Roman" w:hAnsi="Verdana" w:cs="Times New Roman"/>
          <w:color w:val="222222"/>
          <w:lang w:val="ro-RO"/>
        </w:rPr>
        <w:t>.</w:t>
      </w:r>
      <w:r w:rsidR="005855C3" w:rsidRPr="004455F1">
        <w:rPr>
          <w:rFonts w:ascii="Verdana" w:eastAsia="Times New Roman" w:hAnsi="Verdana" w:cs="Times New Roman"/>
          <w:color w:val="222222"/>
          <w:lang w:val="ro-RO"/>
        </w:rPr>
        <w:t xml:space="preserve"> </w:t>
      </w:r>
    </w:p>
    <w:p w:rsidR="002B6B34" w:rsidRPr="002B6B34" w:rsidRDefault="002B6B34" w:rsidP="002B6B3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701AC2" w:rsidRPr="00F56383" w:rsidRDefault="002B6B34" w:rsidP="00F56383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>
        <w:rPr>
          <w:rFonts w:ascii="Verdana" w:eastAsia="Times New Roman" w:hAnsi="Verdana" w:cs="Times New Roman"/>
          <w:color w:val="222222"/>
          <w:lang w:val="ro-RO"/>
        </w:rPr>
        <w:t xml:space="preserve">Noi 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cifre </w:t>
      </w:r>
      <w:r>
        <w:rPr>
          <w:rFonts w:ascii="Verdana" w:eastAsia="Times New Roman" w:hAnsi="Verdana" w:cs="Times New Roman"/>
          <w:color w:val="222222"/>
          <w:lang w:val="ro-RO"/>
        </w:rPr>
        <w:t xml:space="preserve">record au fost </w:t>
      </w:r>
      <w:r w:rsidRPr="002B6B34">
        <w:rPr>
          <w:rFonts w:ascii="Verdana" w:eastAsia="Times New Roman" w:hAnsi="Verdana" w:cs="Times New Roman"/>
          <w:color w:val="222222"/>
          <w:lang w:val="ro-RO"/>
        </w:rPr>
        <w:t>înregistrate în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ceea ce privește 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vânzările de </w:t>
      </w:r>
      <w:r>
        <w:rPr>
          <w:rFonts w:ascii="Verdana" w:eastAsia="Times New Roman" w:hAnsi="Verdana" w:cs="Times New Roman"/>
          <w:color w:val="222222"/>
          <w:lang w:val="ro-RO"/>
        </w:rPr>
        <w:t>țiței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AA255B">
        <w:rPr>
          <w:rFonts w:ascii="Verdana" w:eastAsia="Times New Roman" w:hAnsi="Verdana" w:cs="Times New Roman"/>
          <w:color w:val="222222"/>
          <w:lang w:val="ro-RO"/>
        </w:rPr>
        <w:t>către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AA255B">
        <w:rPr>
          <w:rFonts w:ascii="Verdana" w:eastAsia="Times New Roman" w:hAnsi="Verdana" w:cs="Times New Roman"/>
          <w:color w:val="222222"/>
          <w:lang w:val="ro-RO"/>
        </w:rPr>
        <w:t>parteneri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. </w:t>
      </w:r>
      <w:r>
        <w:rPr>
          <w:rFonts w:ascii="Verdana" w:eastAsia="Times New Roman" w:hAnsi="Verdana" w:cs="Times New Roman"/>
          <w:color w:val="222222"/>
          <w:lang w:val="ro-RO"/>
        </w:rPr>
        <w:t xml:space="preserve">Exporturile </w:t>
      </w:r>
      <w:r w:rsidR="00AA255B">
        <w:rPr>
          <w:rFonts w:ascii="Verdana" w:eastAsia="Times New Roman" w:hAnsi="Verdana" w:cs="Times New Roman"/>
          <w:color w:val="222222"/>
          <w:lang w:val="ro-RO"/>
        </w:rPr>
        <w:t xml:space="preserve">de 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materii prime și produse petroliere </w:t>
      </w:r>
      <w:r>
        <w:rPr>
          <w:rFonts w:ascii="Verdana" w:eastAsia="Times New Roman" w:hAnsi="Verdana" w:cs="Times New Roman"/>
          <w:color w:val="222222"/>
          <w:lang w:val="ro-RO"/>
        </w:rPr>
        <w:t>comercializate pe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F56383">
        <w:rPr>
          <w:rFonts w:ascii="Verdana" w:eastAsia="Times New Roman" w:hAnsi="Verdana" w:cs="Times New Roman"/>
          <w:b/>
          <w:color w:val="222222"/>
          <w:lang w:val="ro-RO"/>
        </w:rPr>
        <w:t>canale</w:t>
      </w:r>
      <w:r w:rsidR="00F56383">
        <w:rPr>
          <w:rFonts w:ascii="Verdana" w:eastAsia="Times New Roman" w:hAnsi="Verdana" w:cs="Times New Roman"/>
          <w:b/>
          <w:color w:val="222222"/>
          <w:lang w:val="ro-RO"/>
        </w:rPr>
        <w:t>le</w:t>
      </w:r>
      <w:r w:rsidRPr="00F56383">
        <w:rPr>
          <w:rFonts w:ascii="Verdana" w:eastAsia="Times New Roman" w:hAnsi="Verdana" w:cs="Times New Roman"/>
          <w:b/>
          <w:color w:val="222222"/>
          <w:lang w:val="ro-RO"/>
        </w:rPr>
        <w:t xml:space="preserve"> de trading 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au </w:t>
      </w:r>
      <w:r>
        <w:rPr>
          <w:rFonts w:ascii="Verdana" w:eastAsia="Times New Roman" w:hAnsi="Verdana" w:cs="Times New Roman"/>
          <w:color w:val="222222"/>
          <w:lang w:val="ro-RO"/>
        </w:rPr>
        <w:t>ajuns la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14,9 milioane de tone, cu 2,7 milioane de tone mai mult decât rezultatul din 2017 și cu 10,3 milioane de tone mai </w:t>
      </w:r>
      <w:r>
        <w:rPr>
          <w:rFonts w:ascii="Verdana" w:eastAsia="Times New Roman" w:hAnsi="Verdana" w:cs="Times New Roman"/>
          <w:color w:val="222222"/>
          <w:lang w:val="ro-RO"/>
        </w:rPr>
        <w:t>mult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decât în 2012. Marja de profit realizată din tranzacțiile cu </w:t>
      </w:r>
      <w:r w:rsidR="00AA255B">
        <w:rPr>
          <w:rFonts w:ascii="Verdana" w:eastAsia="Times New Roman" w:hAnsi="Verdana" w:cs="Times New Roman"/>
          <w:color w:val="222222"/>
          <w:lang w:val="ro-RO"/>
        </w:rPr>
        <w:t>partenerii externi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>
        <w:rPr>
          <w:rFonts w:ascii="Verdana" w:eastAsia="Times New Roman" w:hAnsi="Verdana" w:cs="Times New Roman"/>
          <w:color w:val="222222"/>
          <w:lang w:val="ro-RO"/>
        </w:rPr>
        <w:t>a atins suma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de 48,1 milioane </w:t>
      </w:r>
      <w:r w:rsidR="00AA255B">
        <w:rPr>
          <w:rFonts w:ascii="Verdana" w:eastAsia="Times New Roman" w:hAnsi="Verdana" w:cs="Times New Roman"/>
          <w:color w:val="222222"/>
          <w:lang w:val="ro-RO"/>
        </w:rPr>
        <w:t>USD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, cu 16,7 milioane </w:t>
      </w:r>
      <w:r w:rsidR="00AA255B">
        <w:rPr>
          <w:rFonts w:ascii="Verdana" w:eastAsia="Times New Roman" w:hAnsi="Verdana" w:cs="Times New Roman"/>
          <w:color w:val="222222"/>
          <w:lang w:val="ro-RO"/>
        </w:rPr>
        <w:t>USD</w:t>
      </w:r>
      <w:r w:rsidR="00F56383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mai </w:t>
      </w:r>
      <w:r w:rsidR="00AF56F1">
        <w:rPr>
          <w:rFonts w:ascii="Verdana" w:eastAsia="Times New Roman" w:hAnsi="Verdana" w:cs="Times New Roman"/>
          <w:color w:val="222222"/>
          <w:lang w:val="ro-RO"/>
        </w:rPr>
        <w:t>mult</w:t>
      </w:r>
      <w:r w:rsidRPr="002B6B34">
        <w:rPr>
          <w:rFonts w:ascii="Verdana" w:eastAsia="Times New Roman" w:hAnsi="Verdana" w:cs="Times New Roman"/>
          <w:color w:val="222222"/>
          <w:lang w:val="ro-RO"/>
        </w:rPr>
        <w:t xml:space="preserve"> decât în 2017 și de aproape trei ori mai mult </w:t>
      </w:r>
      <w:r w:rsidR="00F56383" w:rsidRPr="002B6B34">
        <w:rPr>
          <w:rFonts w:ascii="Verdana" w:eastAsia="Times New Roman" w:hAnsi="Verdana" w:cs="Times New Roman"/>
          <w:color w:val="222222"/>
          <w:lang w:val="ro-RO"/>
        </w:rPr>
        <w:t xml:space="preserve">(17,9 milioane </w:t>
      </w:r>
      <w:r w:rsidR="00AA255B">
        <w:rPr>
          <w:rFonts w:ascii="Verdana" w:eastAsia="Times New Roman" w:hAnsi="Verdana" w:cs="Times New Roman"/>
          <w:color w:val="222222"/>
          <w:lang w:val="ro-RO"/>
        </w:rPr>
        <w:t>USD</w:t>
      </w:r>
      <w:r w:rsidR="00F56383" w:rsidRPr="002B6B34">
        <w:rPr>
          <w:rFonts w:ascii="Verdana" w:eastAsia="Times New Roman" w:hAnsi="Verdana" w:cs="Times New Roman"/>
          <w:color w:val="222222"/>
          <w:lang w:val="ro-RO"/>
        </w:rPr>
        <w:t xml:space="preserve">) </w:t>
      </w:r>
      <w:r w:rsidR="00F56383" w:rsidRPr="004878F4">
        <w:rPr>
          <w:rFonts w:ascii="Verdana" w:eastAsia="Times New Roman" w:hAnsi="Verdana" w:cs="Times New Roman"/>
          <w:color w:val="222222"/>
          <w:lang w:val="ro-RO"/>
        </w:rPr>
        <w:t xml:space="preserve">decât </w:t>
      </w:r>
      <w:r w:rsidR="00F56383">
        <w:rPr>
          <w:rFonts w:ascii="Verdana" w:eastAsia="Times New Roman" w:hAnsi="Verdana" w:cs="Times New Roman"/>
          <w:color w:val="222222"/>
          <w:lang w:val="ro-RO"/>
        </w:rPr>
        <w:t>în</w:t>
      </w:r>
      <w:r w:rsidR="00F56383" w:rsidRPr="004878F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2B6B34">
        <w:rPr>
          <w:rFonts w:ascii="Verdana" w:eastAsia="Times New Roman" w:hAnsi="Verdana" w:cs="Times New Roman"/>
          <w:color w:val="222222"/>
          <w:lang w:val="ro-RO"/>
        </w:rPr>
        <w:t>2012.</w:t>
      </w:r>
      <w:r w:rsidR="00CB21E9" w:rsidRPr="004455F1">
        <w:rPr>
          <w:rFonts w:ascii="Verdana" w:eastAsia="Times New Roman" w:hAnsi="Verdana" w:cs="Times New Roman"/>
          <w:color w:val="222222"/>
          <w:lang w:val="ro-RO"/>
        </w:rPr>
        <w:t xml:space="preserve"> </w:t>
      </w:r>
    </w:p>
    <w:p w:rsidR="00701AC2" w:rsidRPr="004455F1" w:rsidRDefault="00701AC2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color w:val="222222"/>
          <w:lang w:val="ro-RO"/>
        </w:rPr>
      </w:pPr>
      <w:r w:rsidRPr="004455F1">
        <w:rPr>
          <w:rFonts w:ascii="Verdana" w:eastAsia="Times New Roman" w:hAnsi="Verdana" w:cs="Times New Roman"/>
          <w:color w:val="222222"/>
          <w:lang w:val="ro-RO"/>
        </w:rPr>
        <w:lastRenderedPageBreak/>
        <w:t>         </w:t>
      </w:r>
    </w:p>
    <w:p w:rsidR="00AA255B" w:rsidRDefault="003E7F80" w:rsidP="002E682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>
        <w:rPr>
          <w:rFonts w:ascii="Verdana" w:eastAsia="Times New Roman" w:hAnsi="Verdana" w:cs="Times New Roman"/>
          <w:color w:val="222222"/>
          <w:lang w:val="ro-RO"/>
        </w:rPr>
        <w:t xml:space="preserve">La </w:t>
      </w:r>
      <w:r w:rsidR="00AA255B">
        <w:rPr>
          <w:rFonts w:ascii="Verdana" w:eastAsia="Times New Roman" w:hAnsi="Verdana" w:cs="Times New Roman"/>
          <w:color w:val="222222"/>
          <w:lang w:val="ro-RO"/>
        </w:rPr>
        <w:t>obținerea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rezultatelor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 operaționale </w:t>
      </w:r>
      <w:r>
        <w:rPr>
          <w:rFonts w:ascii="Verdana" w:eastAsia="Times New Roman" w:hAnsi="Verdana" w:cs="Times New Roman"/>
          <w:color w:val="222222"/>
          <w:lang w:val="ro-RO"/>
        </w:rPr>
        <w:t xml:space="preserve">record 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în 2018 a </w:t>
      </w:r>
      <w:r>
        <w:rPr>
          <w:rFonts w:ascii="Verdana" w:eastAsia="Times New Roman" w:hAnsi="Verdana" w:cs="Times New Roman"/>
          <w:color w:val="222222"/>
          <w:lang w:val="ro-RO"/>
        </w:rPr>
        <w:t>contribuit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AA255B">
        <w:rPr>
          <w:rFonts w:ascii="Verdana" w:eastAsia="Times New Roman" w:hAnsi="Verdana" w:cs="Times New Roman"/>
          <w:color w:val="222222"/>
          <w:lang w:val="ro-RO"/>
        </w:rPr>
        <w:t xml:space="preserve">semnificativ 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implementarea programelor interne care </w:t>
      </w:r>
      <w:r w:rsidR="00AA255B">
        <w:rPr>
          <w:rFonts w:ascii="Verdana" w:eastAsia="Times New Roman" w:hAnsi="Verdana" w:cs="Times New Roman"/>
          <w:color w:val="222222"/>
          <w:lang w:val="ro-RO"/>
        </w:rPr>
        <w:t>au ca scop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 dezvoltarea în etape și diversificarea </w:t>
      </w:r>
      <w:r w:rsidR="00AA255B">
        <w:rPr>
          <w:rFonts w:ascii="Verdana" w:eastAsia="Times New Roman" w:hAnsi="Verdana" w:cs="Times New Roman"/>
          <w:color w:val="222222"/>
          <w:lang w:val="ro-RO"/>
        </w:rPr>
        <w:t>continuă a activităților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. </w:t>
      </w:r>
    </w:p>
    <w:p w:rsidR="00AA255B" w:rsidRDefault="00AA255B" w:rsidP="002E682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AA255B" w:rsidRDefault="00AA255B" w:rsidP="002E682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>
        <w:rPr>
          <w:rFonts w:ascii="Verdana" w:eastAsia="Times New Roman" w:hAnsi="Verdana" w:cs="Times New Roman"/>
          <w:color w:val="222222"/>
          <w:lang w:val="ro-RO"/>
        </w:rPr>
        <w:t xml:space="preserve">Prin utilizarea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>surse</w:t>
      </w:r>
      <w:r>
        <w:rPr>
          <w:rFonts w:ascii="Verdana" w:eastAsia="Times New Roman" w:hAnsi="Verdana" w:cs="Times New Roman"/>
          <w:color w:val="222222"/>
          <w:lang w:val="ro-RO"/>
        </w:rPr>
        <w:t xml:space="preserve">lor proprii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 xml:space="preserve">de finanțare 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 xml:space="preserve">au fost implementate proiecte care </w:t>
      </w:r>
      <w:r>
        <w:rPr>
          <w:rFonts w:ascii="Verdana" w:eastAsia="Times New Roman" w:hAnsi="Verdana" w:cs="Times New Roman"/>
          <w:color w:val="222222"/>
          <w:lang w:val="ro-RO"/>
        </w:rPr>
        <w:t>vizează</w:t>
      </w:r>
      <w:r w:rsidR="002E6824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optimiz</w:t>
      </w:r>
      <w:r w:rsidR="002E6824">
        <w:rPr>
          <w:rFonts w:ascii="Verdana" w:eastAsia="Times New Roman" w:hAnsi="Verdana" w:cs="Times New Roman"/>
          <w:color w:val="222222"/>
          <w:lang w:val="ro-RO"/>
        </w:rPr>
        <w:t>area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 xml:space="preserve"> și </w:t>
      </w:r>
      <w:r w:rsidR="002E6824">
        <w:rPr>
          <w:rFonts w:ascii="Verdana" w:eastAsia="Times New Roman" w:hAnsi="Verdana" w:cs="Times New Roman"/>
          <w:color w:val="222222"/>
          <w:lang w:val="ro-RO"/>
        </w:rPr>
        <w:t xml:space="preserve">creșterea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 xml:space="preserve">eficienței din punct de vedere al costurilor </w:t>
      </w:r>
      <w:r w:rsidR="002E6824">
        <w:rPr>
          <w:rFonts w:ascii="Verdana" w:eastAsia="Times New Roman" w:hAnsi="Verdana" w:cs="Times New Roman"/>
          <w:color w:val="222222"/>
          <w:lang w:val="ro-RO"/>
        </w:rPr>
        <w:t xml:space="preserve">de 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proces</w:t>
      </w:r>
      <w:r w:rsidR="002E6824">
        <w:rPr>
          <w:rFonts w:ascii="Verdana" w:eastAsia="Times New Roman" w:hAnsi="Verdana" w:cs="Times New Roman"/>
          <w:color w:val="222222"/>
          <w:lang w:val="ro-RO"/>
        </w:rPr>
        <w:t>are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, logistic</w:t>
      </w:r>
      <w:r w:rsidR="002E6824" w:rsidRPr="003E7F80">
        <w:rPr>
          <w:rFonts w:ascii="Verdana" w:eastAsia="Times New Roman" w:hAnsi="Verdana" w:cs="Times New Roman"/>
          <w:color w:val="222222"/>
          <w:lang w:val="ro-RO"/>
        </w:rPr>
        <w:t>ă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 xml:space="preserve"> și vânz</w:t>
      </w:r>
      <w:r w:rsidR="002E6824">
        <w:rPr>
          <w:rFonts w:ascii="Verdana" w:eastAsia="Times New Roman" w:hAnsi="Verdana" w:cs="Times New Roman"/>
          <w:color w:val="222222"/>
          <w:lang w:val="ro-RO"/>
        </w:rPr>
        <w:t>are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, precum și reduce</w:t>
      </w:r>
      <w:r w:rsidR="002E6824">
        <w:rPr>
          <w:rFonts w:ascii="Verdana" w:eastAsia="Times New Roman" w:hAnsi="Verdana" w:cs="Times New Roman"/>
          <w:color w:val="222222"/>
          <w:lang w:val="ro-RO"/>
        </w:rPr>
        <w:t>r</w:t>
      </w:r>
      <w:r>
        <w:rPr>
          <w:rFonts w:ascii="Verdana" w:eastAsia="Times New Roman" w:hAnsi="Verdana" w:cs="Times New Roman"/>
          <w:color w:val="222222"/>
          <w:lang w:val="ro-RO"/>
        </w:rPr>
        <w:t>ea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>costuri</w:t>
      </w:r>
      <w:r w:rsidR="002E6824">
        <w:rPr>
          <w:rFonts w:ascii="Verdana" w:eastAsia="Times New Roman" w:hAnsi="Verdana" w:cs="Times New Roman"/>
          <w:color w:val="222222"/>
          <w:lang w:val="ro-RO"/>
        </w:rPr>
        <w:t>lor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 xml:space="preserve"> operaționale 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și crește</w:t>
      </w:r>
      <w:r w:rsidR="002E6824">
        <w:rPr>
          <w:rFonts w:ascii="Verdana" w:eastAsia="Times New Roman" w:hAnsi="Verdana" w:cs="Times New Roman"/>
          <w:color w:val="222222"/>
          <w:lang w:val="ro-RO"/>
        </w:rPr>
        <w:t>r</w:t>
      </w:r>
      <w:r>
        <w:rPr>
          <w:rFonts w:ascii="Verdana" w:eastAsia="Times New Roman" w:hAnsi="Verdana" w:cs="Times New Roman"/>
          <w:color w:val="222222"/>
          <w:lang w:val="ro-RO"/>
        </w:rPr>
        <w:t xml:space="preserve">ea </w:t>
      </w:r>
      <w:r w:rsidR="002E6824" w:rsidRPr="003E7F80">
        <w:rPr>
          <w:rFonts w:ascii="Verdana" w:eastAsia="Times New Roman" w:hAnsi="Verdana" w:cs="Times New Roman"/>
          <w:color w:val="222222"/>
          <w:lang w:val="ro-RO"/>
        </w:rPr>
        <w:t>profitabilităț</w:t>
      </w:r>
      <w:r w:rsidR="002E6824">
        <w:rPr>
          <w:rFonts w:ascii="Verdana" w:eastAsia="Times New Roman" w:hAnsi="Verdana" w:cs="Times New Roman"/>
          <w:color w:val="222222"/>
          <w:lang w:val="ro-RO"/>
        </w:rPr>
        <w:t>ii</w:t>
      </w:r>
      <w:r>
        <w:rPr>
          <w:rFonts w:ascii="Verdana" w:eastAsia="Times New Roman" w:hAnsi="Verdana" w:cs="Times New Roman"/>
          <w:color w:val="222222"/>
          <w:lang w:val="ro-RO"/>
        </w:rPr>
        <w:t xml:space="preserve"> tuturor </w:t>
      </w:r>
      <w:r w:rsidRPr="003E7F80">
        <w:rPr>
          <w:rFonts w:ascii="Verdana" w:eastAsia="Times New Roman" w:hAnsi="Verdana" w:cs="Times New Roman"/>
          <w:color w:val="222222"/>
          <w:lang w:val="ro-RO"/>
        </w:rPr>
        <w:t>activităților curente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>.</w:t>
      </w:r>
      <w:r w:rsidR="003E7F80" w:rsidRPr="003E7F80">
        <w:rPr>
          <w:rFonts w:ascii="Verdana" w:eastAsia="Times New Roman" w:hAnsi="Verdana" w:cs="Times New Roman"/>
          <w:color w:val="222222"/>
          <w:lang w:val="ro-RO"/>
        </w:rPr>
        <w:t xml:space="preserve"> </w:t>
      </w:r>
    </w:p>
    <w:p w:rsidR="00AA255B" w:rsidRDefault="00AA255B" w:rsidP="002E682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701AC2" w:rsidRPr="002E6824" w:rsidRDefault="003E7F80" w:rsidP="002E682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De asemenea, în cadrul proiectelor de extindere a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 xml:space="preserve">rețelei regionale de distribuție carburanți </w:t>
      </w:r>
      <w:r w:rsidRPr="003E7F80">
        <w:rPr>
          <w:rFonts w:ascii="Verdana" w:eastAsia="Times New Roman" w:hAnsi="Verdana" w:cs="Times New Roman"/>
          <w:color w:val="222222"/>
          <w:lang w:val="ro-RO"/>
        </w:rPr>
        <w:t xml:space="preserve">din România, Moldova, Bulgaria și Georgia, au fost deschise circa 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 xml:space="preserve">200 de noi puncte de alimentare carburanți </w:t>
      </w:r>
      <w:r w:rsidRPr="003E7F80">
        <w:rPr>
          <w:rFonts w:ascii="Verdana" w:eastAsia="Times New Roman" w:hAnsi="Verdana" w:cs="Times New Roman"/>
          <w:color w:val="222222"/>
          <w:lang w:val="ro-RO"/>
        </w:rPr>
        <w:t>(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>inclusiv benzin</w:t>
      </w:r>
      <w:r w:rsidR="002E6824" w:rsidRPr="003E7F80">
        <w:rPr>
          <w:rFonts w:ascii="Verdana" w:eastAsia="Times New Roman" w:hAnsi="Verdana" w:cs="Times New Roman"/>
          <w:color w:val="222222"/>
          <w:lang w:val="ro-RO"/>
        </w:rPr>
        <w:t>ă</w:t>
      </w:r>
      <w:r w:rsidR="002E6824" w:rsidRPr="002E6824">
        <w:rPr>
          <w:rFonts w:ascii="Verdana" w:eastAsia="Times New Roman" w:hAnsi="Verdana" w:cs="Times New Roman"/>
          <w:color w:val="222222"/>
          <w:lang w:val="ro-RO"/>
        </w:rPr>
        <w:t>rii, sta</w:t>
      </w:r>
      <w:r w:rsidR="00473CDD">
        <w:rPr>
          <w:rFonts w:ascii="Verdana" w:eastAsia="Times New Roman" w:hAnsi="Verdana" w:cs="Times New Roman"/>
          <w:color w:val="222222"/>
          <w:lang w:val="ro-RO"/>
        </w:rPr>
        <w:t>ții mobile Expres și baze interne</w:t>
      </w:r>
      <w:r w:rsidRPr="003E7F80">
        <w:rPr>
          <w:rFonts w:ascii="Verdana" w:eastAsia="Times New Roman" w:hAnsi="Verdana" w:cs="Times New Roman"/>
          <w:color w:val="222222"/>
          <w:lang w:val="ro-RO"/>
        </w:rPr>
        <w:t>).</w:t>
      </w:r>
      <w:r w:rsidR="00701AC2" w:rsidRPr="004455F1">
        <w:rPr>
          <w:rFonts w:ascii="Verdana" w:eastAsia="Times New Roman" w:hAnsi="Verdana" w:cs="Times New Roman"/>
          <w:color w:val="222222"/>
          <w:lang w:val="ro-RO"/>
        </w:rPr>
        <w:t xml:space="preserve">   </w:t>
      </w:r>
    </w:p>
    <w:p w:rsidR="00701AC2" w:rsidRDefault="00701AC2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  <w:r w:rsidRPr="004455F1">
        <w:rPr>
          <w:rFonts w:ascii="Verdana" w:eastAsia="Times New Roman" w:hAnsi="Verdana" w:cs="Times New Roman"/>
          <w:color w:val="222222"/>
          <w:lang w:val="ro-RO"/>
        </w:rPr>
        <w:t> </w:t>
      </w:r>
    </w:p>
    <w:p w:rsidR="00114A68" w:rsidRDefault="00114A68" w:rsidP="00114A68">
      <w:pPr>
        <w:ind w:firstLine="567"/>
        <w:jc w:val="both"/>
        <w:rPr>
          <w:rFonts w:ascii="Verdana" w:hAnsi="Verdana"/>
        </w:rPr>
      </w:pPr>
      <w:r w:rsidRPr="00073947">
        <w:rPr>
          <w:rFonts w:ascii="Verdana" w:hAnsi="Verdana"/>
        </w:rPr>
        <w:t>“</w:t>
      </w:r>
      <w:proofErr w:type="spellStart"/>
      <w:r w:rsidR="00ED06EA">
        <w:rPr>
          <w:rFonts w:ascii="Verdana" w:hAnsi="Verdana"/>
        </w:rPr>
        <w:t>Î</w:t>
      </w:r>
      <w:r w:rsidRPr="005007BC">
        <w:rPr>
          <w:rFonts w:ascii="Verdana" w:hAnsi="Verdana"/>
          <w:i/>
        </w:rPr>
        <w:t>n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anul</w:t>
      </w:r>
      <w:proofErr w:type="spellEnd"/>
      <w:r w:rsidRPr="005007BC">
        <w:rPr>
          <w:rFonts w:ascii="Verdana" w:hAnsi="Verdana"/>
          <w:i/>
        </w:rPr>
        <w:t xml:space="preserve"> 2018, </w:t>
      </w:r>
      <w:proofErr w:type="spellStart"/>
      <w:r w:rsidRPr="005007BC">
        <w:rPr>
          <w:rFonts w:ascii="Verdana" w:hAnsi="Verdana"/>
          <w:i/>
        </w:rPr>
        <w:t>activitatea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opera</w:t>
      </w:r>
      <w:r w:rsidR="00ED06EA">
        <w:rPr>
          <w:rFonts w:ascii="Verdana" w:hAnsi="Verdana"/>
          <w:i/>
        </w:rPr>
        <w:t>ț</w:t>
      </w:r>
      <w:r w:rsidRPr="005007BC">
        <w:rPr>
          <w:rFonts w:ascii="Verdana" w:hAnsi="Verdana"/>
          <w:i/>
        </w:rPr>
        <w:t>ional</w:t>
      </w:r>
      <w:r w:rsidR="00ED06EA">
        <w:rPr>
          <w:rFonts w:ascii="Verdana" w:hAnsi="Verdana"/>
          <w:i/>
        </w:rPr>
        <w:t>ă</w:t>
      </w:r>
      <w:proofErr w:type="spellEnd"/>
      <w:r w:rsidRPr="005007BC">
        <w:rPr>
          <w:rFonts w:ascii="Verdana" w:hAnsi="Verdana"/>
          <w:i/>
        </w:rPr>
        <w:t xml:space="preserve"> a KMG International s-a </w:t>
      </w:r>
      <w:proofErr w:type="spellStart"/>
      <w:r w:rsidRPr="005007BC">
        <w:rPr>
          <w:rFonts w:ascii="Verdana" w:hAnsi="Verdana"/>
          <w:i/>
        </w:rPr>
        <w:t>desf</w:t>
      </w:r>
      <w:r w:rsidR="00ED06EA">
        <w:rPr>
          <w:rFonts w:ascii="Verdana" w:hAnsi="Verdana"/>
          <w:i/>
        </w:rPr>
        <w:t>ăș</w:t>
      </w:r>
      <w:r w:rsidRPr="005007BC">
        <w:rPr>
          <w:rFonts w:ascii="Verdana" w:hAnsi="Verdana"/>
          <w:i/>
        </w:rPr>
        <w:t>urat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î</w:t>
      </w:r>
      <w:r w:rsidRPr="005007BC">
        <w:rPr>
          <w:rFonts w:ascii="Verdana" w:hAnsi="Verdana"/>
          <w:i/>
        </w:rPr>
        <w:t>n</w:t>
      </w:r>
      <w:proofErr w:type="spellEnd"/>
      <w:r w:rsidRPr="005007BC">
        <w:rPr>
          <w:rFonts w:ascii="Verdana" w:hAnsi="Verdana"/>
          <w:i/>
        </w:rPr>
        <w:t xml:space="preserve"> </w:t>
      </w:r>
      <w:r w:rsidRPr="00B8468A">
        <w:rPr>
          <w:rFonts w:ascii="Verdana" w:eastAsia="Times New Roman" w:hAnsi="Verdana" w:cs="Times New Roman"/>
          <w:i/>
          <w:iCs/>
          <w:color w:val="222222"/>
          <w:lang w:val="ro-RO"/>
        </w:rPr>
        <w:t>deplină</w:t>
      </w:r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conformitate</w:t>
      </w:r>
      <w:proofErr w:type="spellEnd"/>
      <w:r w:rsidRPr="005007BC">
        <w:rPr>
          <w:rFonts w:ascii="Verdana" w:hAnsi="Verdana"/>
          <w:i/>
        </w:rPr>
        <w:t xml:space="preserve"> cu </w:t>
      </w:r>
      <w:proofErr w:type="spellStart"/>
      <w:r w:rsidRPr="005007BC">
        <w:rPr>
          <w:rFonts w:ascii="Verdana" w:hAnsi="Verdana"/>
          <w:i/>
        </w:rPr>
        <w:t>planurile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stabilite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ș</w:t>
      </w:r>
      <w:r w:rsidRPr="005007BC">
        <w:rPr>
          <w:rFonts w:ascii="Verdana" w:hAnsi="Verdana"/>
          <w:i/>
        </w:rPr>
        <w:t>i</w:t>
      </w:r>
      <w:proofErr w:type="spellEnd"/>
      <w:r w:rsidRPr="005007BC">
        <w:rPr>
          <w:rFonts w:ascii="Verdana" w:hAnsi="Verdana"/>
          <w:i/>
        </w:rPr>
        <w:t xml:space="preserve"> </w:t>
      </w:r>
      <w:r w:rsidR="00ED06EA">
        <w:rPr>
          <w:rFonts w:ascii="Verdana" w:hAnsi="Verdana"/>
          <w:i/>
        </w:rPr>
        <w:t xml:space="preserve">cu </w:t>
      </w:r>
      <w:proofErr w:type="spellStart"/>
      <w:r w:rsidR="00ED06EA">
        <w:rPr>
          <w:rFonts w:ascii="Verdana" w:hAnsi="Verdana"/>
          <w:i/>
        </w:rPr>
        <w:t>s</w:t>
      </w:r>
      <w:r w:rsidRPr="005007BC">
        <w:rPr>
          <w:rFonts w:ascii="Verdana" w:hAnsi="Verdana"/>
          <w:i/>
        </w:rPr>
        <w:t>trategia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Grupului</w:t>
      </w:r>
      <w:proofErr w:type="spellEnd"/>
      <w:r w:rsidRPr="005007BC">
        <w:rPr>
          <w:rFonts w:ascii="Verdana" w:hAnsi="Verdana"/>
          <w:i/>
        </w:rPr>
        <w:t xml:space="preserve">, </w:t>
      </w:r>
      <w:proofErr w:type="spellStart"/>
      <w:r w:rsidRPr="005007BC">
        <w:rPr>
          <w:rFonts w:ascii="Verdana" w:hAnsi="Verdana"/>
          <w:i/>
        </w:rPr>
        <w:t>aprobat</w:t>
      </w:r>
      <w:r w:rsidR="00ED06EA">
        <w:rPr>
          <w:rFonts w:ascii="Verdana" w:hAnsi="Verdana"/>
          <w:i/>
        </w:rPr>
        <w:t>ă</w:t>
      </w:r>
      <w:proofErr w:type="spellEnd"/>
      <w:r w:rsidRPr="005007BC">
        <w:rPr>
          <w:rFonts w:ascii="Verdana" w:hAnsi="Verdana"/>
          <w:i/>
        </w:rPr>
        <w:t xml:space="preserve"> la </w:t>
      </w:r>
      <w:proofErr w:type="spellStart"/>
      <w:r w:rsidR="00ED06EA">
        <w:rPr>
          <w:rFonts w:ascii="Verdana" w:hAnsi="Verdana"/>
          <w:i/>
        </w:rPr>
        <w:t>î</w:t>
      </w:r>
      <w:r w:rsidRPr="005007BC">
        <w:rPr>
          <w:rFonts w:ascii="Verdana" w:hAnsi="Verdana"/>
          <w:i/>
        </w:rPr>
        <w:t>nceputul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anului</w:t>
      </w:r>
      <w:proofErr w:type="spellEnd"/>
      <w:r w:rsidRPr="005007BC">
        <w:rPr>
          <w:rFonts w:ascii="Verdana" w:hAnsi="Verdana"/>
          <w:i/>
        </w:rPr>
        <w:t xml:space="preserve">. </w:t>
      </w:r>
      <w:proofErr w:type="spellStart"/>
      <w:r w:rsidR="00ED06EA">
        <w:rPr>
          <w:rFonts w:ascii="Verdana" w:hAnsi="Verdana"/>
          <w:i/>
        </w:rPr>
        <w:t>Î</w:t>
      </w:r>
      <w:r w:rsidRPr="005007BC">
        <w:rPr>
          <w:rFonts w:ascii="Verdana" w:hAnsi="Verdana"/>
          <w:i/>
        </w:rPr>
        <w:t>n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ce</w:t>
      </w:r>
      <w:r w:rsidR="00ED06EA">
        <w:rPr>
          <w:rFonts w:ascii="Verdana" w:hAnsi="Verdana"/>
          <w:i/>
        </w:rPr>
        <w:t>e</w:t>
      </w:r>
      <w:r w:rsidRPr="005007BC">
        <w:rPr>
          <w:rFonts w:ascii="Verdana" w:hAnsi="Verdana"/>
          <w:i/>
        </w:rPr>
        <w:t>a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prive</w:t>
      </w:r>
      <w:r w:rsidR="00ED06EA">
        <w:rPr>
          <w:rFonts w:ascii="Verdana" w:hAnsi="Verdana"/>
          <w:i/>
        </w:rPr>
        <w:t>ș</w:t>
      </w:r>
      <w:r w:rsidRPr="005007BC">
        <w:rPr>
          <w:rFonts w:ascii="Verdana" w:hAnsi="Verdana"/>
          <w:i/>
        </w:rPr>
        <w:t>te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principalii</w:t>
      </w:r>
      <w:proofErr w:type="spellEnd"/>
      <w:r w:rsidR="00ED06EA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indicatorii</w:t>
      </w:r>
      <w:proofErr w:type="spellEnd"/>
      <w:r w:rsidRPr="005007BC">
        <w:rPr>
          <w:rFonts w:ascii="Verdana" w:hAnsi="Verdana"/>
          <w:i/>
        </w:rPr>
        <w:t xml:space="preserve"> de </w:t>
      </w:r>
      <w:proofErr w:type="spellStart"/>
      <w:r w:rsidRPr="005007BC">
        <w:rPr>
          <w:rFonts w:ascii="Verdana" w:hAnsi="Verdana"/>
          <w:i/>
        </w:rPr>
        <w:t>produc</w:t>
      </w:r>
      <w:r w:rsidR="00ED06EA">
        <w:rPr>
          <w:rFonts w:ascii="Verdana" w:hAnsi="Verdana"/>
          <w:i/>
        </w:rPr>
        <w:t>ț</w:t>
      </w:r>
      <w:r w:rsidRPr="005007BC">
        <w:rPr>
          <w:rFonts w:ascii="Verdana" w:hAnsi="Verdana"/>
          <w:i/>
        </w:rPr>
        <w:t>ie</w:t>
      </w:r>
      <w:proofErr w:type="spellEnd"/>
      <w:r w:rsidRPr="005007BC">
        <w:rPr>
          <w:rFonts w:ascii="Verdana" w:hAnsi="Verdana"/>
          <w:i/>
        </w:rPr>
        <w:t xml:space="preserve">, </w:t>
      </w:r>
      <w:proofErr w:type="spellStart"/>
      <w:r w:rsidRPr="005007BC">
        <w:rPr>
          <w:rFonts w:ascii="Verdana" w:hAnsi="Verdana"/>
          <w:i/>
        </w:rPr>
        <w:t>anul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trecut</w:t>
      </w:r>
      <w:proofErr w:type="spellEnd"/>
      <w:r w:rsidRPr="005007BC">
        <w:rPr>
          <w:rFonts w:ascii="Verdana" w:hAnsi="Verdana"/>
          <w:i/>
        </w:rPr>
        <w:t xml:space="preserve"> a </w:t>
      </w:r>
      <w:proofErr w:type="spellStart"/>
      <w:r w:rsidRPr="005007BC">
        <w:rPr>
          <w:rFonts w:ascii="Verdana" w:hAnsi="Verdana"/>
          <w:i/>
        </w:rPr>
        <w:t>fost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cel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mai</w:t>
      </w:r>
      <w:proofErr w:type="spellEnd"/>
      <w:r w:rsidRPr="005007BC">
        <w:rPr>
          <w:rFonts w:ascii="Verdana" w:hAnsi="Verdana"/>
          <w:i/>
        </w:rPr>
        <w:t xml:space="preserve"> bun din </w:t>
      </w:r>
      <w:proofErr w:type="spellStart"/>
      <w:r w:rsidRPr="005007BC">
        <w:rPr>
          <w:rFonts w:ascii="Verdana" w:hAnsi="Verdana"/>
          <w:i/>
        </w:rPr>
        <w:t>cei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peste</w:t>
      </w:r>
      <w:proofErr w:type="spellEnd"/>
      <w:r w:rsidRPr="005007BC">
        <w:rPr>
          <w:rFonts w:ascii="Verdana" w:hAnsi="Verdana"/>
          <w:i/>
        </w:rPr>
        <w:t xml:space="preserve"> 10 </w:t>
      </w:r>
      <w:proofErr w:type="spellStart"/>
      <w:r w:rsidRPr="005007BC">
        <w:rPr>
          <w:rFonts w:ascii="Verdana" w:hAnsi="Verdana"/>
          <w:i/>
        </w:rPr>
        <w:t>ani</w:t>
      </w:r>
      <w:proofErr w:type="spellEnd"/>
      <w:r w:rsidRPr="005007BC">
        <w:rPr>
          <w:rFonts w:ascii="Verdana" w:hAnsi="Verdana"/>
          <w:i/>
        </w:rPr>
        <w:t xml:space="preserve"> de </w:t>
      </w:r>
      <w:proofErr w:type="spellStart"/>
      <w:r w:rsidRPr="005007BC">
        <w:rPr>
          <w:rFonts w:ascii="Verdana" w:hAnsi="Verdana"/>
          <w:i/>
        </w:rPr>
        <w:t>c</w:t>
      </w:r>
      <w:r w:rsidR="00ED06EA">
        <w:rPr>
          <w:rFonts w:ascii="Verdana" w:hAnsi="Verdana"/>
          <w:i/>
        </w:rPr>
        <w:t>â</w:t>
      </w:r>
      <w:r w:rsidRPr="005007BC">
        <w:rPr>
          <w:rFonts w:ascii="Verdana" w:hAnsi="Verdana"/>
          <w:i/>
        </w:rPr>
        <w:t>nd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 w:rsidRPr="005007BC">
        <w:rPr>
          <w:rFonts w:ascii="Verdana" w:hAnsi="Verdana"/>
          <w:i/>
        </w:rPr>
        <w:t>KazMunayGas</w:t>
      </w:r>
      <w:proofErr w:type="spellEnd"/>
      <w:r w:rsidR="00ED06EA">
        <w:rPr>
          <w:rFonts w:ascii="Verdana" w:hAnsi="Verdana"/>
          <w:i/>
        </w:rPr>
        <w:t>,</w:t>
      </w:r>
      <w:r w:rsidR="00ED06EA"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compania</w:t>
      </w:r>
      <w:proofErr w:type="spellEnd"/>
      <w:r w:rsidR="00ED06EA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n</w:t>
      </w:r>
      <w:r w:rsidRPr="005007BC">
        <w:rPr>
          <w:rFonts w:ascii="Verdana" w:hAnsi="Verdana"/>
          <w:i/>
        </w:rPr>
        <w:t>ationala</w:t>
      </w:r>
      <w:proofErr w:type="spellEnd"/>
      <w:r w:rsidR="00ED06EA">
        <w:rPr>
          <w:rFonts w:ascii="Verdana" w:hAnsi="Verdana"/>
          <w:i/>
        </w:rPr>
        <w:t xml:space="preserve"> de petrol </w:t>
      </w:r>
      <w:proofErr w:type="spellStart"/>
      <w:r w:rsidR="00ED06EA">
        <w:rPr>
          <w:rFonts w:ascii="Verdana" w:hAnsi="Verdana"/>
          <w:i/>
        </w:rPr>
        <w:t>și</w:t>
      </w:r>
      <w:proofErr w:type="spellEnd"/>
      <w:r w:rsidR="00ED06EA">
        <w:rPr>
          <w:rFonts w:ascii="Verdana" w:hAnsi="Verdana"/>
          <w:i/>
        </w:rPr>
        <w:t xml:space="preserve"> gaze din </w:t>
      </w:r>
      <w:proofErr w:type="spellStart"/>
      <w:r w:rsidR="00ED06EA">
        <w:rPr>
          <w:rFonts w:ascii="Verdana" w:hAnsi="Verdana"/>
          <w:i/>
        </w:rPr>
        <w:t>Kazahstan</w:t>
      </w:r>
      <w:proofErr w:type="spellEnd"/>
      <w:r w:rsidR="00ED06EA">
        <w:rPr>
          <w:rFonts w:ascii="Verdana" w:hAnsi="Verdana"/>
          <w:i/>
        </w:rPr>
        <w:t>,</w:t>
      </w:r>
      <w:r w:rsidRPr="005007BC">
        <w:rPr>
          <w:rFonts w:ascii="Verdana" w:hAnsi="Verdana"/>
          <w:i/>
        </w:rPr>
        <w:t xml:space="preserve"> a </w:t>
      </w:r>
      <w:proofErr w:type="spellStart"/>
      <w:r w:rsidR="00ED06EA">
        <w:rPr>
          <w:rFonts w:ascii="Verdana" w:hAnsi="Verdana"/>
          <w:i/>
        </w:rPr>
        <w:t>devenit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unic</w:t>
      </w:r>
      <w:proofErr w:type="spellEnd"/>
      <w:r w:rsidR="00ED06EA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acționar</w:t>
      </w:r>
      <w:proofErr w:type="spellEnd"/>
      <w:r w:rsidRPr="005007BC">
        <w:rPr>
          <w:rFonts w:ascii="Verdana" w:hAnsi="Verdana"/>
          <w:i/>
        </w:rPr>
        <w:t xml:space="preserve"> al KMGI. </w:t>
      </w:r>
      <w:proofErr w:type="spellStart"/>
      <w:r w:rsidR="00ED06EA">
        <w:rPr>
          <w:rFonts w:ascii="Verdana" w:hAnsi="Verdana"/>
          <w:i/>
        </w:rPr>
        <w:t>Pe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termen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mediu</w:t>
      </w:r>
      <w:proofErr w:type="spellEnd"/>
      <w:r w:rsidRPr="005007BC">
        <w:rPr>
          <w:rFonts w:ascii="Verdana" w:hAnsi="Verdana"/>
          <w:i/>
        </w:rPr>
        <w:t xml:space="preserve">, ne </w:t>
      </w:r>
      <w:proofErr w:type="spellStart"/>
      <w:r w:rsidRPr="005007BC">
        <w:rPr>
          <w:rFonts w:ascii="Verdana" w:hAnsi="Verdana"/>
          <w:i/>
        </w:rPr>
        <w:t>propunem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s</w:t>
      </w:r>
      <w:r w:rsidR="00ED06EA">
        <w:rPr>
          <w:rFonts w:ascii="Verdana" w:hAnsi="Verdana"/>
          <w:i/>
        </w:rPr>
        <w:t>ă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dubl</w:t>
      </w:r>
      <w:r w:rsidR="00ED06EA">
        <w:rPr>
          <w:rFonts w:ascii="Verdana" w:hAnsi="Verdana"/>
          <w:i/>
        </w:rPr>
        <w:t>ă</w:t>
      </w:r>
      <w:r w:rsidRPr="005007BC">
        <w:rPr>
          <w:rFonts w:ascii="Verdana" w:hAnsi="Verdana"/>
          <w:i/>
        </w:rPr>
        <w:t>m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indicatorul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profitului</w:t>
      </w:r>
      <w:proofErr w:type="spellEnd"/>
      <w:r w:rsidRPr="005007BC">
        <w:rPr>
          <w:rFonts w:ascii="Verdana" w:hAnsi="Verdana"/>
          <w:i/>
        </w:rPr>
        <w:t xml:space="preserve"> net, </w:t>
      </w:r>
      <w:proofErr w:type="spellStart"/>
      <w:r w:rsidRPr="005007BC">
        <w:rPr>
          <w:rFonts w:ascii="Verdana" w:hAnsi="Verdana"/>
          <w:i/>
        </w:rPr>
        <w:t>s</w:t>
      </w:r>
      <w:r w:rsidR="00ED06EA">
        <w:rPr>
          <w:rFonts w:ascii="Verdana" w:hAnsi="Verdana"/>
          <w:i/>
        </w:rPr>
        <w:t>ă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continu</w:t>
      </w:r>
      <w:r w:rsidR="00ED06EA">
        <w:rPr>
          <w:rFonts w:ascii="Verdana" w:hAnsi="Verdana"/>
          <w:i/>
        </w:rPr>
        <w:t>ă</w:t>
      </w:r>
      <w:r w:rsidRPr="005007BC">
        <w:rPr>
          <w:rFonts w:ascii="Verdana" w:hAnsi="Verdana"/>
          <w:i/>
        </w:rPr>
        <w:t>m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implementarea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strategiei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acționarului</w:t>
      </w:r>
      <w:proofErr w:type="spellEnd"/>
      <w:r w:rsidR="00ED06EA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KazMunayGas</w:t>
      </w:r>
      <w:proofErr w:type="spellEnd"/>
      <w:r w:rsidR="00ED06EA">
        <w:rPr>
          <w:rFonts w:ascii="Verdana" w:hAnsi="Verdana"/>
          <w:i/>
        </w:rPr>
        <w:t>,</w:t>
      </w:r>
      <w:r w:rsidRPr="005007BC">
        <w:rPr>
          <w:rFonts w:ascii="Verdana" w:hAnsi="Verdana"/>
          <w:i/>
        </w:rPr>
        <w:t xml:space="preserve"> de </w:t>
      </w:r>
      <w:proofErr w:type="spellStart"/>
      <w:r w:rsidRPr="005007BC">
        <w:rPr>
          <w:rFonts w:ascii="Verdana" w:hAnsi="Verdana"/>
          <w:i/>
        </w:rPr>
        <w:t>extindere</w:t>
      </w:r>
      <w:proofErr w:type="spellEnd"/>
      <w:r w:rsidRPr="005007BC">
        <w:rPr>
          <w:rFonts w:ascii="Verdana" w:hAnsi="Verdana"/>
          <w:i/>
        </w:rPr>
        <w:t xml:space="preserve"> a </w:t>
      </w:r>
      <w:proofErr w:type="spellStart"/>
      <w:r w:rsidRPr="005007BC">
        <w:rPr>
          <w:rFonts w:ascii="Verdana" w:hAnsi="Verdana"/>
          <w:i/>
        </w:rPr>
        <w:t>prezen</w:t>
      </w:r>
      <w:r w:rsidR="00ED06EA">
        <w:rPr>
          <w:rFonts w:ascii="Verdana" w:hAnsi="Verdana"/>
          <w:i/>
        </w:rPr>
        <w:t>ț</w:t>
      </w:r>
      <w:r w:rsidRPr="005007BC">
        <w:rPr>
          <w:rFonts w:ascii="Verdana" w:hAnsi="Verdana"/>
          <w:i/>
        </w:rPr>
        <w:t>ei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pe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pia</w:t>
      </w:r>
      <w:r w:rsidR="00ED06EA">
        <w:rPr>
          <w:rFonts w:ascii="Verdana" w:hAnsi="Verdana"/>
          <w:i/>
        </w:rPr>
        <w:t>ț</w:t>
      </w:r>
      <w:r w:rsidRPr="005007BC">
        <w:rPr>
          <w:rFonts w:ascii="Verdana" w:hAnsi="Verdana"/>
          <w:i/>
        </w:rPr>
        <w:t>a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interna</w:t>
      </w:r>
      <w:r w:rsidR="00ED06EA">
        <w:rPr>
          <w:rFonts w:ascii="Verdana" w:hAnsi="Verdana"/>
          <w:i/>
        </w:rPr>
        <w:t>ț</w:t>
      </w:r>
      <w:r w:rsidRPr="005007BC">
        <w:rPr>
          <w:rFonts w:ascii="Verdana" w:hAnsi="Verdana"/>
          <w:i/>
        </w:rPr>
        <w:t>ional</w:t>
      </w:r>
      <w:r w:rsidR="00ED06EA">
        <w:rPr>
          <w:rFonts w:ascii="Verdana" w:hAnsi="Verdana"/>
          <w:i/>
        </w:rPr>
        <w:t>ă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ș</w:t>
      </w:r>
      <w:r w:rsidRPr="005007BC">
        <w:rPr>
          <w:rFonts w:ascii="Verdana" w:hAnsi="Verdana"/>
          <w:i/>
        </w:rPr>
        <w:t>i</w:t>
      </w:r>
      <w:proofErr w:type="spellEnd"/>
      <w:r w:rsidRPr="005007BC">
        <w:rPr>
          <w:rFonts w:ascii="Verdana" w:hAnsi="Verdana"/>
          <w:i/>
        </w:rPr>
        <w:t xml:space="preserve">, </w:t>
      </w:r>
      <w:proofErr w:type="spellStart"/>
      <w:r w:rsidR="00ED06EA">
        <w:rPr>
          <w:rFonts w:ascii="Verdana" w:hAnsi="Verdana"/>
          <w:i/>
        </w:rPr>
        <w:t>în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consecin</w:t>
      </w:r>
      <w:r w:rsidR="00ED06EA">
        <w:rPr>
          <w:rFonts w:ascii="Verdana" w:hAnsi="Verdana"/>
          <w:i/>
        </w:rPr>
        <w:t>ță</w:t>
      </w:r>
      <w:proofErr w:type="spellEnd"/>
      <w:r w:rsidRPr="005007BC">
        <w:rPr>
          <w:rFonts w:ascii="Verdana" w:hAnsi="Verdana"/>
          <w:i/>
        </w:rPr>
        <w:t xml:space="preserve">, </w:t>
      </w:r>
      <w:r w:rsidR="00ED06EA">
        <w:rPr>
          <w:rFonts w:ascii="Verdana" w:hAnsi="Verdana"/>
          <w:i/>
        </w:rPr>
        <w:t xml:space="preserve">de </w:t>
      </w:r>
      <w:proofErr w:type="spellStart"/>
      <w:r w:rsidRPr="005007BC">
        <w:rPr>
          <w:rFonts w:ascii="Verdana" w:hAnsi="Verdana"/>
          <w:i/>
        </w:rPr>
        <w:t>cre</w:t>
      </w:r>
      <w:r w:rsidR="00ED06EA">
        <w:rPr>
          <w:rFonts w:ascii="Verdana" w:hAnsi="Verdana"/>
          <w:i/>
        </w:rPr>
        <w:t>ș</w:t>
      </w:r>
      <w:r w:rsidRPr="005007BC">
        <w:rPr>
          <w:rFonts w:ascii="Verdana" w:hAnsi="Verdana"/>
          <w:i/>
        </w:rPr>
        <w:t>ter</w:t>
      </w:r>
      <w:r w:rsidR="00ED06EA">
        <w:rPr>
          <w:rFonts w:ascii="Verdana" w:hAnsi="Verdana"/>
          <w:i/>
        </w:rPr>
        <w:t>e</w:t>
      </w:r>
      <w:proofErr w:type="spellEnd"/>
      <w:r w:rsidR="00ED06EA">
        <w:rPr>
          <w:rFonts w:ascii="Verdana" w:hAnsi="Verdana"/>
          <w:i/>
        </w:rPr>
        <w:t xml:space="preserve"> a</w:t>
      </w:r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valorii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>
        <w:rPr>
          <w:rFonts w:ascii="Verdana" w:hAnsi="Verdana"/>
          <w:i/>
        </w:rPr>
        <w:t>î</w:t>
      </w:r>
      <w:r w:rsidRPr="005007BC">
        <w:rPr>
          <w:rFonts w:ascii="Verdana" w:hAnsi="Verdana"/>
          <w:i/>
        </w:rPr>
        <w:t>ntregului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Pr="005007BC">
        <w:rPr>
          <w:rFonts w:ascii="Verdana" w:hAnsi="Verdana"/>
          <w:i/>
        </w:rPr>
        <w:t>Grup</w:t>
      </w:r>
      <w:proofErr w:type="spellEnd"/>
      <w:r>
        <w:rPr>
          <w:rFonts w:ascii="Verdana" w:hAnsi="Verdana"/>
          <w:i/>
        </w:rPr>
        <w:t xml:space="preserve"> de </w:t>
      </w:r>
      <w:proofErr w:type="spellStart"/>
      <w:r>
        <w:rPr>
          <w:rFonts w:ascii="Verdana" w:hAnsi="Verdana"/>
          <w:i/>
        </w:rPr>
        <w:t>companii</w:t>
      </w:r>
      <w:proofErr w:type="spellEnd"/>
      <w:r w:rsidRPr="005007BC">
        <w:rPr>
          <w:rFonts w:ascii="Verdana" w:hAnsi="Verdana"/>
          <w:i/>
        </w:rPr>
        <w:t xml:space="preserve"> </w:t>
      </w:r>
      <w:proofErr w:type="spellStart"/>
      <w:r w:rsidR="00ED06EA" w:rsidRPr="00ED06EA">
        <w:rPr>
          <w:rFonts w:ascii="Verdana" w:hAnsi="Verdana"/>
          <w:i/>
        </w:rPr>
        <w:t>KazMunayGas</w:t>
      </w:r>
      <w:proofErr w:type="spellEnd"/>
      <w:r>
        <w:rPr>
          <w:rFonts w:ascii="Verdana" w:hAnsi="Verdana"/>
        </w:rPr>
        <w:t xml:space="preserve">, - a </w:t>
      </w:r>
      <w:proofErr w:type="spellStart"/>
      <w:r w:rsidR="00ED06EA">
        <w:rPr>
          <w:rFonts w:ascii="Verdana" w:hAnsi="Verdana"/>
        </w:rPr>
        <w:t>menționat</w:t>
      </w:r>
      <w:proofErr w:type="spellEnd"/>
      <w:r>
        <w:rPr>
          <w:rFonts w:ascii="Verdana" w:hAnsi="Verdana"/>
        </w:rPr>
        <w:t xml:space="preserve"> Zhanat Tussupbekov, </w:t>
      </w:r>
      <w:r w:rsidR="00ED06EA">
        <w:rPr>
          <w:rFonts w:ascii="Verdana" w:hAnsi="Verdana"/>
        </w:rPr>
        <w:t>director general al</w:t>
      </w:r>
      <w:r>
        <w:rPr>
          <w:rFonts w:ascii="Verdana" w:hAnsi="Verdana"/>
        </w:rPr>
        <w:t xml:space="preserve"> KMG International.       </w:t>
      </w:r>
    </w:p>
    <w:p w:rsidR="00114A68" w:rsidRPr="004455F1" w:rsidRDefault="00114A68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222222"/>
          <w:lang w:val="ro-RO"/>
        </w:rPr>
      </w:pPr>
    </w:p>
    <w:p w:rsidR="00701AC2" w:rsidRPr="004455F1" w:rsidRDefault="0007296A" w:rsidP="007E775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color w:val="222222"/>
          <w:lang w:val="ro-RO"/>
        </w:rPr>
      </w:pP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În 2019, </w:t>
      </w:r>
      <w:r w:rsidR="00ED06EA" w:rsidRPr="00ED06EA">
        <w:rPr>
          <w:rFonts w:ascii="Verdana" w:eastAsia="Times New Roman" w:hAnsi="Verdana" w:cs="Times New Roman"/>
          <w:color w:val="222222"/>
          <w:lang w:val="ro-RO"/>
        </w:rPr>
        <w:t xml:space="preserve">KMG International 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intenționează să înceapă implementarea proiectelor </w:t>
      </w:r>
      <w:r w:rsidR="00ED06EA">
        <w:rPr>
          <w:rFonts w:ascii="Verdana" w:eastAsia="Times New Roman" w:hAnsi="Verdana" w:cs="Times New Roman"/>
          <w:color w:val="222222"/>
          <w:lang w:val="ro-RO"/>
        </w:rPr>
        <w:t>de construcție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ED06EA">
        <w:rPr>
          <w:rFonts w:ascii="Verdana" w:eastAsia="Times New Roman" w:hAnsi="Verdana" w:cs="Times New Roman"/>
          <w:color w:val="222222"/>
          <w:lang w:val="ro-RO"/>
        </w:rPr>
        <w:t xml:space="preserve">a 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unei centrale de cogenerare </w:t>
      </w:r>
      <w:r>
        <w:rPr>
          <w:rFonts w:ascii="Verdana" w:eastAsia="Times New Roman" w:hAnsi="Verdana" w:cs="Times New Roman"/>
          <w:color w:val="222222"/>
          <w:lang w:val="ro-RO"/>
        </w:rPr>
        <w:t>pe platforma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>
        <w:rPr>
          <w:rFonts w:ascii="Verdana" w:eastAsia="Times New Roman" w:hAnsi="Verdana" w:cs="Times New Roman"/>
          <w:color w:val="222222"/>
          <w:lang w:val="ro-RO"/>
        </w:rPr>
        <w:t>r</w:t>
      </w:r>
      <w:r w:rsidRPr="0007296A">
        <w:rPr>
          <w:rFonts w:ascii="Verdana" w:eastAsia="Times New Roman" w:hAnsi="Verdana" w:cs="Times New Roman"/>
          <w:color w:val="222222"/>
          <w:lang w:val="ro-RO"/>
        </w:rPr>
        <w:t>afinări</w:t>
      </w:r>
      <w:r>
        <w:rPr>
          <w:rFonts w:ascii="Verdana" w:eastAsia="Times New Roman" w:hAnsi="Verdana" w:cs="Times New Roman"/>
          <w:color w:val="222222"/>
          <w:lang w:val="ro-RO"/>
        </w:rPr>
        <w:t>ei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Petromidia</w:t>
      </w:r>
      <w:r w:rsidR="00ED06EA">
        <w:rPr>
          <w:rFonts w:ascii="Verdana" w:eastAsia="Times New Roman" w:hAnsi="Verdana" w:cs="Times New Roman"/>
          <w:color w:val="222222"/>
          <w:lang w:val="ro-RO"/>
        </w:rPr>
        <w:t>,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precum și extinderea rețelei de benzinării în România</w:t>
      </w:r>
      <w:r w:rsidR="009D3051">
        <w:rPr>
          <w:rFonts w:ascii="Verdana" w:eastAsia="Times New Roman" w:hAnsi="Verdana" w:cs="Times New Roman"/>
          <w:color w:val="222222"/>
          <w:lang w:val="ro-RO"/>
        </w:rPr>
        <w:t xml:space="preserve">, 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>principal</w:t>
      </w:r>
      <w:r w:rsidR="00473CDD">
        <w:rPr>
          <w:rFonts w:ascii="Verdana" w:eastAsia="Times New Roman" w:hAnsi="Verdana" w:cs="Times New Roman"/>
          <w:color w:val="222222"/>
          <w:lang w:val="ro-RO"/>
        </w:rPr>
        <w:t>a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 piață de desfășurare a activității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. 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Se preconizează că </w:t>
      </w:r>
      <w:r w:rsidRPr="0007296A">
        <w:rPr>
          <w:rFonts w:ascii="Verdana" w:eastAsia="Times New Roman" w:hAnsi="Verdana" w:cs="Times New Roman"/>
          <w:color w:val="222222"/>
          <w:lang w:val="ro-RO"/>
        </w:rPr>
        <w:t>aceste proiecte de infrastructură</w:t>
      </w:r>
      <w:r w:rsidR="00473CDD">
        <w:rPr>
          <w:rFonts w:ascii="Verdana" w:eastAsia="Times New Roman" w:hAnsi="Verdana" w:cs="Times New Roman"/>
          <w:color w:val="222222"/>
          <w:lang w:val="ro-RO"/>
        </w:rPr>
        <w:t>,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care </w:t>
      </w:r>
      <w:r w:rsidR="00ED06EA">
        <w:rPr>
          <w:rFonts w:ascii="Verdana" w:eastAsia="Times New Roman" w:hAnsi="Verdana" w:cs="Times New Roman"/>
          <w:color w:val="222222"/>
          <w:lang w:val="ro-RO"/>
        </w:rPr>
        <w:t xml:space="preserve">vor contribui la </w:t>
      </w:r>
      <w:r w:rsidRPr="0007296A">
        <w:rPr>
          <w:rFonts w:ascii="Verdana" w:eastAsia="Times New Roman" w:hAnsi="Verdana" w:cs="Times New Roman"/>
          <w:color w:val="222222"/>
          <w:lang w:val="ro-RO"/>
        </w:rPr>
        <w:t>îmbunătățirea sustenabilității financiare și profitabilității Grupului</w:t>
      </w:r>
      <w:r w:rsidR="00473CDD">
        <w:rPr>
          <w:rFonts w:ascii="Verdana" w:eastAsia="Times New Roman" w:hAnsi="Verdana" w:cs="Times New Roman"/>
          <w:color w:val="222222"/>
          <w:lang w:val="ro-RO"/>
        </w:rPr>
        <w:t>,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vor fi implementate în cadrul 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>Fondului de investiții kazah–român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. În plus, </w:t>
      </w:r>
      <w:r w:rsidR="00CF71B9" w:rsidRPr="0007296A">
        <w:rPr>
          <w:rFonts w:ascii="Verdana" w:eastAsia="Times New Roman" w:hAnsi="Verdana" w:cs="Times New Roman"/>
          <w:color w:val="222222"/>
          <w:lang w:val="ro-RO"/>
        </w:rPr>
        <w:t>sunt</w:t>
      </w:r>
      <w:r w:rsidR="00CF71B9" w:rsidRPr="0007296A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07296A">
        <w:rPr>
          <w:rFonts w:ascii="Verdana" w:eastAsia="Times New Roman" w:hAnsi="Verdana" w:cs="Times New Roman"/>
          <w:color w:val="222222"/>
          <w:lang w:val="ro-RO"/>
        </w:rPr>
        <w:t>în curs de desfășurare proiecte</w:t>
      </w:r>
      <w:r w:rsidR="009D3051">
        <w:rPr>
          <w:rFonts w:ascii="Verdana" w:eastAsia="Times New Roman" w:hAnsi="Verdana" w:cs="Times New Roman"/>
          <w:color w:val="222222"/>
          <w:lang w:val="ro-RO"/>
        </w:rPr>
        <w:t>le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de </w:t>
      </w:r>
      <w:r w:rsidR="00CF71B9">
        <w:rPr>
          <w:rFonts w:ascii="Verdana" w:eastAsia="Times New Roman" w:hAnsi="Verdana" w:cs="Times New Roman"/>
          <w:color w:val="222222"/>
          <w:lang w:val="ro-RO"/>
        </w:rPr>
        <w:t>automatizare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 </w:t>
      </w:r>
      <w:r w:rsidRPr="0007296A">
        <w:rPr>
          <w:rFonts w:ascii="Verdana" w:eastAsia="Times New Roman" w:hAnsi="Verdana" w:cs="Times New Roman"/>
          <w:color w:val="222222"/>
          <w:lang w:val="ro-RO"/>
        </w:rPr>
        <w:t>integrată a rafinări</w:t>
      </w:r>
      <w:r w:rsidR="009D3051">
        <w:rPr>
          <w:rFonts w:ascii="Verdana" w:eastAsia="Times New Roman" w:hAnsi="Verdana" w:cs="Times New Roman"/>
          <w:color w:val="222222"/>
          <w:lang w:val="ro-RO"/>
        </w:rPr>
        <w:t>ei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 și extinderea capacităților logistice ale </w:t>
      </w:r>
      <w:r w:rsidR="009D3051">
        <w:rPr>
          <w:rFonts w:ascii="Verdana" w:eastAsia="Times New Roman" w:hAnsi="Verdana" w:cs="Times New Roman"/>
          <w:color w:val="222222"/>
          <w:lang w:val="ro-RO"/>
        </w:rPr>
        <w:t>unității de producție</w:t>
      </w:r>
      <w:r w:rsidRPr="0007296A">
        <w:rPr>
          <w:rFonts w:ascii="Verdana" w:eastAsia="Times New Roman" w:hAnsi="Verdana" w:cs="Times New Roman"/>
          <w:color w:val="222222"/>
          <w:lang w:val="ro-RO"/>
        </w:rPr>
        <w:t xml:space="preserve">. În total, în următorii 5 ani, compania intenționează să implementeze aproximativ 100 de 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proiecte IT </w:t>
      </w:r>
      <w:r w:rsidR="00CF71B9">
        <w:rPr>
          <w:rFonts w:ascii="Verdana" w:eastAsia="Times New Roman" w:hAnsi="Verdana" w:cs="Times New Roman"/>
          <w:color w:val="222222"/>
          <w:lang w:val="ro-RO"/>
        </w:rPr>
        <w:t>în</w:t>
      </w:r>
      <w:r w:rsidR="009D3051" w:rsidRPr="009D3051">
        <w:rPr>
          <w:rFonts w:ascii="Verdana" w:eastAsia="Times New Roman" w:hAnsi="Verdana" w:cs="Times New Roman"/>
          <w:color w:val="222222"/>
          <w:lang w:val="ro-RO"/>
        </w:rPr>
        <w:t xml:space="preserve"> toate direcțiile de activitate</w:t>
      </w:r>
      <w:r w:rsidR="00B563A5" w:rsidRPr="004455F1">
        <w:rPr>
          <w:rFonts w:ascii="Verdana" w:eastAsia="Times New Roman" w:hAnsi="Verdana" w:cs="Times New Roman"/>
          <w:color w:val="222222"/>
          <w:lang w:val="ro-RO"/>
        </w:rPr>
        <w:t xml:space="preserve">. </w:t>
      </w:r>
    </w:p>
    <w:p w:rsidR="00701AC2" w:rsidRPr="004455F1" w:rsidRDefault="00701AC2" w:rsidP="007E775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color w:val="222222"/>
          <w:lang w:val="ro-RO"/>
        </w:rPr>
        <w:t> </w:t>
      </w:r>
    </w:p>
    <w:p w:rsidR="00701AC2" w:rsidRPr="004455F1" w:rsidRDefault="00701AC2" w:rsidP="007E775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i/>
          <w:iCs/>
          <w:color w:val="222222"/>
          <w:lang w:val="ro-RO"/>
        </w:rPr>
        <w:t> </w:t>
      </w:r>
    </w:p>
    <w:p w:rsidR="00701AC2" w:rsidRPr="004455F1" w:rsidRDefault="00AA79BE" w:rsidP="007E77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  <w:lang w:val="ro-RO"/>
        </w:rPr>
      </w:pPr>
      <w:r w:rsidRPr="00AA79BE">
        <w:rPr>
          <w:rFonts w:ascii="Verdana" w:eastAsia="Times New Roman" w:hAnsi="Verdana"/>
          <w:b/>
          <w:bCs/>
          <w:color w:val="222222"/>
          <w:lang w:val="ro-RO"/>
        </w:rPr>
        <w:t>Informații de referință</w:t>
      </w:r>
      <w:r w:rsidR="00701AC2" w:rsidRPr="004455F1">
        <w:rPr>
          <w:rFonts w:ascii="Verdana" w:eastAsia="Times New Roman" w:hAnsi="Verdana"/>
          <w:b/>
          <w:bCs/>
          <w:color w:val="222222"/>
          <w:lang w:val="ro-RO"/>
        </w:rPr>
        <w:t>:</w:t>
      </w:r>
    </w:p>
    <w:p w:rsidR="00701AC2" w:rsidRPr="004455F1" w:rsidRDefault="00701AC2" w:rsidP="007E775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> </w:t>
      </w:r>
    </w:p>
    <w:p w:rsidR="00701AC2" w:rsidRPr="001E0ECD" w:rsidRDefault="00021E0A" w:rsidP="007E7754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lang w:val="ro-RO"/>
        </w:rPr>
      </w:pPr>
      <w:r>
        <w:rPr>
          <w:rFonts w:ascii="Verdana" w:eastAsia="Times New Roman" w:hAnsi="Verdana"/>
          <w:color w:val="222222"/>
          <w:lang w:val="ro-RO"/>
        </w:rPr>
        <w:t>„</w:t>
      </w:r>
      <w:r w:rsidR="00AA79BE" w:rsidRPr="00AA79BE">
        <w:rPr>
          <w:rFonts w:ascii="Verdana" w:eastAsia="Times New Roman" w:hAnsi="Verdana"/>
          <w:color w:val="222222"/>
          <w:lang w:val="ro-RO"/>
        </w:rPr>
        <w:t>KMG International N.V.</w:t>
      </w:r>
      <w:r>
        <w:rPr>
          <w:rFonts w:ascii="Verdana" w:eastAsia="Times New Roman" w:hAnsi="Verdana"/>
          <w:color w:val="222222"/>
          <w:lang w:val="ro-RO"/>
        </w:rPr>
        <w:t>”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</w:t>
      </w:r>
      <w:r w:rsidRPr="00021E0A">
        <w:rPr>
          <w:rFonts w:ascii="Verdana" w:eastAsia="Times New Roman" w:hAnsi="Verdana"/>
          <w:color w:val="222222"/>
          <w:lang w:val="ro-RO"/>
        </w:rPr>
        <w:t xml:space="preserve">deținută 100% </w:t>
      </w:r>
      <w:r>
        <w:rPr>
          <w:rFonts w:ascii="Verdana" w:eastAsia="Times New Roman" w:hAnsi="Verdana"/>
          <w:color w:val="222222"/>
          <w:lang w:val="ro-RO"/>
        </w:rPr>
        <w:t>de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</w:t>
      </w:r>
      <w:r>
        <w:rPr>
          <w:rFonts w:ascii="Verdana" w:eastAsia="Times New Roman" w:hAnsi="Verdana"/>
          <w:color w:val="222222"/>
          <w:lang w:val="ro-RO"/>
        </w:rPr>
        <w:t>„</w:t>
      </w:r>
      <w:r w:rsidRPr="00AA79BE">
        <w:rPr>
          <w:rFonts w:ascii="Verdana" w:eastAsia="Times New Roman" w:hAnsi="Verdana"/>
          <w:color w:val="222222"/>
          <w:lang w:val="ro-RO"/>
        </w:rPr>
        <w:t>KazMunayGas</w:t>
      </w:r>
      <w:r>
        <w:rPr>
          <w:rFonts w:ascii="Verdana" w:eastAsia="Times New Roman" w:hAnsi="Verdana"/>
          <w:color w:val="222222"/>
          <w:lang w:val="ro-RO"/>
        </w:rPr>
        <w:t>”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</w:t>
      </w:r>
      <w:r>
        <w:rPr>
          <w:rFonts w:ascii="Verdana" w:eastAsia="Times New Roman" w:hAnsi="Verdana"/>
          <w:color w:val="222222"/>
          <w:lang w:val="ro-RO"/>
        </w:rPr>
        <w:t>este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o companie petrolieră internațională integrată, </w:t>
      </w:r>
      <w:r w:rsidRPr="00021E0A">
        <w:rPr>
          <w:rFonts w:ascii="Verdana" w:eastAsia="Times New Roman" w:hAnsi="Verdana"/>
          <w:color w:val="222222"/>
          <w:lang w:val="ro-RO"/>
        </w:rPr>
        <w:t>care desfășoară operațiuni în domeniile rafinare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, vânzare de produse petroliere, furnizare de servicii industriale </w:t>
      </w:r>
      <w:r>
        <w:rPr>
          <w:rFonts w:ascii="Verdana" w:eastAsia="Times New Roman" w:hAnsi="Verdana"/>
          <w:color w:val="222222"/>
          <w:lang w:val="ro-RO"/>
        </w:rPr>
        <w:t xml:space="preserve">pe 11 piețe </w:t>
      </w:r>
      <w:r w:rsidR="00CF71B9">
        <w:rPr>
          <w:rFonts w:ascii="Verdana" w:eastAsia="Times New Roman" w:hAnsi="Verdana"/>
          <w:color w:val="222222"/>
          <w:lang w:val="ro-RO"/>
        </w:rPr>
        <w:t>principale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. </w:t>
      </w:r>
      <w:r w:rsidR="00CF71B9">
        <w:rPr>
          <w:rFonts w:ascii="Verdana" w:eastAsia="Times New Roman" w:hAnsi="Verdana"/>
          <w:color w:val="222222"/>
          <w:lang w:val="ro-RO"/>
        </w:rPr>
        <w:t>Rețeaua de distribuție a c</w:t>
      </w:r>
      <w:r w:rsidR="001E0ECD" w:rsidRPr="001E0ECD">
        <w:rPr>
          <w:rFonts w:ascii="Verdana" w:eastAsia="Times New Roman" w:hAnsi="Verdana"/>
          <w:color w:val="222222"/>
          <w:lang w:val="ro-RO"/>
        </w:rPr>
        <w:t>ompaniei este format</w:t>
      </w:r>
      <w:r w:rsidR="001E0ECD" w:rsidRPr="00021E0A">
        <w:rPr>
          <w:rFonts w:ascii="Verdana" w:eastAsia="Times New Roman" w:hAnsi="Verdana"/>
          <w:color w:val="222222"/>
          <w:lang w:val="ro-RO"/>
        </w:rPr>
        <w:t>ă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din peste </w:t>
      </w:r>
      <w:r w:rsidR="00CF71B9">
        <w:rPr>
          <w:rFonts w:ascii="Verdana" w:eastAsia="Times New Roman" w:hAnsi="Verdana"/>
          <w:color w:val="222222"/>
          <w:lang w:val="ro-RO"/>
        </w:rPr>
        <w:t xml:space="preserve">1,100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de puncte de alimentare 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în Georgia, Bulgaria, Moldova și România, unde Grupul deține două rafinării </w:t>
      </w:r>
      <w:r w:rsidR="001E0ECD">
        <w:rPr>
          <w:rFonts w:ascii="Verdana" w:eastAsia="Times New Roman" w:hAnsi="Verdana"/>
          <w:color w:val="222222"/>
          <w:lang w:val="ro-RO"/>
        </w:rPr>
        <w:t>–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Petromidia din Năvodari și Vega din Ploiești, precum și </w:t>
      </w:r>
      <w:r w:rsidR="00CF71B9">
        <w:rPr>
          <w:rFonts w:ascii="Verdana" w:eastAsia="Times New Roman" w:hAnsi="Verdana"/>
          <w:color w:val="222222"/>
          <w:lang w:val="ro-RO"/>
        </w:rPr>
        <w:t>singura unitate de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 petrochimi</w:t>
      </w:r>
      <w:r w:rsidR="00CF71B9">
        <w:rPr>
          <w:rFonts w:ascii="Verdana" w:eastAsia="Times New Roman" w:hAnsi="Verdana"/>
          <w:color w:val="222222"/>
          <w:lang w:val="ro-RO"/>
        </w:rPr>
        <w:t>e din România</w:t>
      </w:r>
      <w:r w:rsidR="00AA79BE" w:rsidRPr="00AA79BE">
        <w:rPr>
          <w:rFonts w:ascii="Verdana" w:eastAsia="Times New Roman" w:hAnsi="Verdana"/>
          <w:color w:val="222222"/>
          <w:lang w:val="ro-RO"/>
        </w:rPr>
        <w:t xml:space="preserve">. </w:t>
      </w:r>
      <w:r w:rsidR="001E0ECD">
        <w:rPr>
          <w:rFonts w:ascii="Verdana" w:eastAsia="Times New Roman" w:hAnsi="Verdana"/>
          <w:color w:val="222222"/>
          <w:lang w:val="ro-RO"/>
        </w:rPr>
        <w:t>A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ctivitatea principală a companiei </w:t>
      </w:r>
      <w:r w:rsidR="00CF71B9">
        <w:rPr>
          <w:rFonts w:ascii="Verdana" w:eastAsia="Times New Roman" w:hAnsi="Verdana"/>
          <w:color w:val="222222"/>
          <w:lang w:val="ro-RO"/>
        </w:rPr>
        <w:t>se desfășoară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</w:t>
      </w:r>
      <w:r w:rsidR="00AA79BE" w:rsidRPr="00AA79BE">
        <w:rPr>
          <w:rFonts w:ascii="Verdana" w:eastAsia="Times New Roman" w:hAnsi="Verdana"/>
          <w:color w:val="222222"/>
          <w:lang w:val="ro-RO"/>
        </w:rPr>
        <w:t>în regiunea Mării Negre</w:t>
      </w:r>
      <w:r w:rsidR="00701AC2" w:rsidRPr="004455F1">
        <w:rPr>
          <w:rFonts w:ascii="Verdana" w:eastAsia="Times New Roman" w:hAnsi="Verdana"/>
          <w:color w:val="222222"/>
          <w:lang w:val="ro-RO"/>
        </w:rPr>
        <w:t>. </w:t>
      </w:r>
    </w:p>
    <w:p w:rsidR="00701AC2" w:rsidRPr="004455F1" w:rsidRDefault="00701AC2" w:rsidP="007E775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color w:val="222222"/>
          <w:lang w:val="ro-RO"/>
        </w:rPr>
        <w:t> </w:t>
      </w:r>
    </w:p>
    <w:p w:rsidR="00701AC2" w:rsidRPr="004455F1" w:rsidRDefault="00CF71B9" w:rsidP="007E775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ro-RO"/>
        </w:rPr>
      </w:pPr>
      <w:r>
        <w:rPr>
          <w:rFonts w:ascii="Verdana" w:eastAsia="Times New Roman" w:hAnsi="Verdana"/>
          <w:color w:val="222222"/>
          <w:lang w:val="ro-RO"/>
        </w:rPr>
        <w:lastRenderedPageBreak/>
        <w:t>Rezultatele pozitive din ultimii ani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și performanțele operaționale ridicate se datorează, în principal, finalizării cu succes a programului de modernizare și </w:t>
      </w:r>
      <w:r>
        <w:rPr>
          <w:rFonts w:ascii="Verdana" w:eastAsia="Times New Roman" w:hAnsi="Verdana"/>
          <w:color w:val="222222"/>
          <w:lang w:val="ro-RO"/>
        </w:rPr>
        <w:t xml:space="preserve">de </w:t>
      </w:r>
      <w:r w:rsidR="001E0ECD" w:rsidRPr="001E0ECD">
        <w:rPr>
          <w:rFonts w:ascii="Verdana" w:eastAsia="Times New Roman" w:hAnsi="Verdana"/>
          <w:color w:val="222222"/>
          <w:lang w:val="ro-RO"/>
        </w:rPr>
        <w:t>creșter</w:t>
      </w:r>
      <w:r>
        <w:rPr>
          <w:rFonts w:ascii="Verdana" w:eastAsia="Times New Roman" w:hAnsi="Verdana"/>
          <w:color w:val="222222"/>
          <w:lang w:val="ro-RO"/>
        </w:rPr>
        <w:t xml:space="preserve">e a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productivității rafinăriei Petromidia </w:t>
      </w:r>
      <w:r>
        <w:rPr>
          <w:rFonts w:ascii="Verdana" w:eastAsia="Times New Roman" w:hAnsi="Verdana"/>
          <w:color w:val="222222"/>
          <w:lang w:val="ro-RO"/>
        </w:rPr>
        <w:t>din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Năvodari.</w:t>
      </w:r>
      <w:r w:rsidR="00701AC2" w:rsidRPr="004455F1">
        <w:rPr>
          <w:rFonts w:ascii="Verdana" w:eastAsia="Times New Roman" w:hAnsi="Verdana"/>
          <w:color w:val="222222"/>
          <w:lang w:val="ro-RO"/>
        </w:rPr>
        <w:t xml:space="preserve">  </w:t>
      </w:r>
      <w:r w:rsidR="00303573" w:rsidRPr="004455F1">
        <w:rPr>
          <w:rFonts w:ascii="Verdana" w:eastAsia="Times New Roman" w:hAnsi="Verdana"/>
          <w:color w:val="222222"/>
          <w:lang w:val="ro-RO"/>
        </w:rPr>
        <w:t xml:space="preserve"> </w:t>
      </w:r>
    </w:p>
    <w:p w:rsidR="00701AC2" w:rsidRPr="004455F1" w:rsidRDefault="00701AC2" w:rsidP="007E775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color w:val="222222"/>
          <w:lang w:val="ro-RO"/>
        </w:rPr>
        <w:t> </w:t>
      </w:r>
    </w:p>
    <w:p w:rsidR="00701AC2" w:rsidRPr="00EF4A94" w:rsidRDefault="008B5029" w:rsidP="007E7754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lang w:val="ro-RO"/>
        </w:rPr>
      </w:pPr>
      <w:r>
        <w:rPr>
          <w:rFonts w:ascii="Verdana" w:eastAsia="Times New Roman" w:hAnsi="Verdana"/>
          <w:color w:val="222222"/>
          <w:lang w:val="ro-RO"/>
        </w:rPr>
        <w:t>Datorit</w:t>
      </w:r>
      <w:r w:rsidRPr="001E0ECD">
        <w:rPr>
          <w:rFonts w:ascii="Verdana" w:eastAsia="Times New Roman" w:hAnsi="Verdana"/>
          <w:color w:val="222222"/>
          <w:lang w:val="ro-RO"/>
        </w:rPr>
        <w:t>ă</w:t>
      </w:r>
      <w:r>
        <w:rPr>
          <w:rFonts w:ascii="Verdana" w:eastAsia="Times New Roman" w:hAnsi="Verdana"/>
          <w:color w:val="222222"/>
          <w:lang w:val="ro-RO"/>
        </w:rPr>
        <w:t xml:space="preserve"> </w:t>
      </w:r>
      <w:r w:rsidRPr="001E0ECD">
        <w:rPr>
          <w:rFonts w:ascii="Verdana" w:eastAsia="Times New Roman" w:hAnsi="Verdana"/>
          <w:color w:val="222222"/>
          <w:lang w:val="ro-RO"/>
        </w:rPr>
        <w:t>modernizăr</w:t>
      </w:r>
      <w:r>
        <w:rPr>
          <w:rFonts w:ascii="Verdana" w:eastAsia="Times New Roman" w:hAnsi="Verdana"/>
          <w:color w:val="222222"/>
          <w:lang w:val="ro-RO"/>
        </w:rPr>
        <w:t>ii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, volumul </w:t>
      </w:r>
      <w:r>
        <w:rPr>
          <w:rFonts w:ascii="Verdana" w:eastAsia="Times New Roman" w:hAnsi="Verdana"/>
          <w:color w:val="222222"/>
          <w:lang w:val="ro-RO"/>
        </w:rPr>
        <w:t>de procesare al rafinăriei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Petromidia</w:t>
      </w:r>
      <w:r w:rsidR="00CF71B9">
        <w:rPr>
          <w:rFonts w:ascii="Verdana" w:eastAsia="Times New Roman" w:hAnsi="Verdana"/>
          <w:color w:val="222222"/>
          <w:lang w:val="ro-RO"/>
        </w:rPr>
        <w:t xml:space="preserve">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a crescut de la 3,8 la 5 milioane de tone de materii prime, </w:t>
      </w:r>
      <w:r w:rsidR="00CF71B9">
        <w:rPr>
          <w:rFonts w:ascii="Verdana" w:eastAsia="Times New Roman" w:hAnsi="Verdana"/>
          <w:color w:val="222222"/>
          <w:lang w:val="ro-RO"/>
        </w:rPr>
        <w:t>a fost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</w:t>
      </w:r>
      <w:r>
        <w:rPr>
          <w:rFonts w:ascii="Verdana" w:eastAsia="Times New Roman" w:hAnsi="Verdana"/>
          <w:color w:val="222222"/>
          <w:lang w:val="ro-RO"/>
        </w:rPr>
        <w:t>realizat</w:t>
      </w:r>
      <w:r w:rsidR="00CF71B9">
        <w:rPr>
          <w:rFonts w:ascii="Verdana" w:eastAsia="Times New Roman" w:hAnsi="Verdana"/>
          <w:color w:val="222222"/>
          <w:lang w:val="ro-RO"/>
        </w:rPr>
        <w:t>ă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trecerea la producția </w:t>
      </w:r>
      <w:r w:rsidR="00CF71B9">
        <w:rPr>
          <w:rFonts w:ascii="Verdana" w:eastAsia="Times New Roman" w:hAnsi="Verdana"/>
          <w:color w:val="222222"/>
          <w:lang w:val="ro-RO"/>
        </w:rPr>
        <w:t xml:space="preserve">exclusivă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de </w:t>
      </w:r>
      <w:r w:rsidR="00CF71B9">
        <w:rPr>
          <w:rFonts w:ascii="Verdana" w:eastAsia="Times New Roman" w:hAnsi="Verdana"/>
          <w:color w:val="222222"/>
          <w:lang w:val="ro-RO"/>
        </w:rPr>
        <w:t>carburanți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</w:t>
      </w:r>
      <w:r w:rsidR="00CF71B9">
        <w:rPr>
          <w:rFonts w:ascii="Verdana" w:eastAsia="Times New Roman" w:hAnsi="Verdana"/>
          <w:color w:val="222222"/>
          <w:lang w:val="ro-RO"/>
        </w:rPr>
        <w:t xml:space="preserve">la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standard Euro-5, </w:t>
      </w:r>
      <w:r w:rsidR="008749BD">
        <w:rPr>
          <w:rFonts w:ascii="Verdana" w:eastAsia="Times New Roman" w:hAnsi="Verdana"/>
          <w:color w:val="222222"/>
          <w:lang w:val="ro-RO"/>
        </w:rPr>
        <w:t xml:space="preserve">iar </w:t>
      </w:r>
      <w:r w:rsidR="00320611" w:rsidRPr="00320611">
        <w:rPr>
          <w:rFonts w:ascii="Verdana" w:eastAsia="Times New Roman" w:hAnsi="Verdana"/>
          <w:color w:val="222222"/>
          <w:lang w:val="ro-RO"/>
        </w:rPr>
        <w:t>coeficient</w:t>
      </w:r>
      <w:r w:rsidR="00320611">
        <w:rPr>
          <w:rFonts w:ascii="Verdana" w:eastAsia="Times New Roman" w:hAnsi="Verdana"/>
          <w:color w:val="222222"/>
          <w:lang w:val="ro-RO"/>
        </w:rPr>
        <w:t>ul</w:t>
      </w:r>
      <w:r w:rsidR="00320611" w:rsidRPr="00320611">
        <w:rPr>
          <w:rFonts w:ascii="Verdana" w:eastAsia="Times New Roman" w:hAnsi="Verdana"/>
          <w:color w:val="222222"/>
          <w:lang w:val="ro-RO"/>
        </w:rPr>
        <w:t xml:space="preserve"> de conversie a materiilor prime </w:t>
      </w:r>
      <w:r w:rsidR="00320611">
        <w:rPr>
          <w:rFonts w:ascii="Verdana" w:eastAsia="Times New Roman" w:hAnsi="Verdana"/>
          <w:color w:val="222222"/>
          <w:lang w:val="ro-RO"/>
        </w:rPr>
        <w:t>a ajuns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la 94%. </w:t>
      </w:r>
      <w:r w:rsidR="00320611" w:rsidRPr="001E0ECD">
        <w:rPr>
          <w:rFonts w:ascii="Verdana" w:eastAsia="Times New Roman" w:hAnsi="Verdana"/>
          <w:color w:val="222222"/>
          <w:lang w:val="ro-RO"/>
        </w:rPr>
        <w:t>În perioada 2012 și 2017</w:t>
      </w:r>
      <w:r w:rsidR="00320611">
        <w:rPr>
          <w:rFonts w:ascii="Verdana" w:eastAsia="Times New Roman" w:hAnsi="Verdana"/>
          <w:color w:val="222222"/>
          <w:lang w:val="ro-RO"/>
        </w:rPr>
        <w:t>,</w:t>
      </w:r>
      <w:r w:rsidR="00320611" w:rsidRPr="001E0ECD">
        <w:rPr>
          <w:rFonts w:ascii="Verdana" w:eastAsia="Times New Roman" w:hAnsi="Verdana"/>
          <w:color w:val="222222"/>
          <w:lang w:val="ro-RO"/>
        </w:rPr>
        <w:t xml:space="preserve"> </w:t>
      </w:r>
      <w:r w:rsidR="00320611">
        <w:rPr>
          <w:rFonts w:ascii="Verdana" w:eastAsia="Times New Roman" w:hAnsi="Verdana"/>
          <w:color w:val="222222"/>
          <w:lang w:val="ro-RO"/>
        </w:rPr>
        <w:t>c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ostul </w:t>
      </w:r>
      <w:r w:rsidR="00320611">
        <w:rPr>
          <w:rFonts w:ascii="Verdana" w:eastAsia="Times New Roman" w:hAnsi="Verdana"/>
          <w:color w:val="222222"/>
          <w:lang w:val="ro-RO"/>
        </w:rPr>
        <w:t xml:space="preserve">de procesare a 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țițeiului a scăzut de la 28 la 16 </w:t>
      </w:r>
      <w:r w:rsidR="00CF71B9">
        <w:rPr>
          <w:rFonts w:ascii="Verdana" w:eastAsia="Times New Roman" w:hAnsi="Verdana"/>
          <w:color w:val="222222"/>
          <w:lang w:val="ro-RO"/>
        </w:rPr>
        <w:t>USD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pe tonă. De asemenea, ca urmare a modernizării </w:t>
      </w:r>
      <w:r w:rsidR="00320611">
        <w:rPr>
          <w:rFonts w:ascii="Verdana" w:eastAsia="Times New Roman" w:hAnsi="Verdana"/>
          <w:color w:val="222222"/>
          <w:lang w:val="ro-RO"/>
        </w:rPr>
        <w:t xml:space="preserve">rafinăriei </w:t>
      </w:r>
      <w:r w:rsidR="001E0ECD" w:rsidRPr="001E0ECD">
        <w:rPr>
          <w:rFonts w:ascii="Verdana" w:eastAsia="Times New Roman" w:hAnsi="Verdana"/>
          <w:color w:val="222222"/>
          <w:lang w:val="ro-RO"/>
        </w:rPr>
        <w:t>Petromidia</w:t>
      </w:r>
      <w:r w:rsidR="00CF71B9">
        <w:rPr>
          <w:rFonts w:ascii="Verdana" w:eastAsia="Times New Roman" w:hAnsi="Verdana"/>
          <w:color w:val="222222"/>
          <w:lang w:val="ro-RO"/>
        </w:rPr>
        <w:t xml:space="preserve"> </w:t>
      </w:r>
      <w:r w:rsidR="001E0ECD" w:rsidRPr="001E0ECD">
        <w:rPr>
          <w:rFonts w:ascii="Verdana" w:eastAsia="Times New Roman" w:hAnsi="Verdana"/>
          <w:color w:val="222222"/>
          <w:lang w:val="ro-RO"/>
        </w:rPr>
        <w:t>a</w:t>
      </w:r>
      <w:r w:rsidR="006C1CEF">
        <w:rPr>
          <w:rFonts w:ascii="Verdana" w:eastAsia="Times New Roman" w:hAnsi="Verdana"/>
          <w:color w:val="222222"/>
          <w:lang w:val="ro-RO"/>
        </w:rPr>
        <w:t>u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fost </w:t>
      </w:r>
      <w:r w:rsidR="00320611">
        <w:rPr>
          <w:rFonts w:ascii="Verdana" w:eastAsia="Times New Roman" w:hAnsi="Verdana"/>
          <w:color w:val="222222"/>
          <w:lang w:val="ro-RO"/>
        </w:rPr>
        <w:t>repus</w:t>
      </w:r>
      <w:r w:rsidR="00EF4A94">
        <w:rPr>
          <w:rFonts w:ascii="Verdana" w:eastAsia="Times New Roman" w:hAnsi="Verdana"/>
          <w:color w:val="222222"/>
          <w:lang w:val="ro-RO"/>
        </w:rPr>
        <w:t>e</w:t>
      </w:r>
      <w:r w:rsidR="00320611">
        <w:rPr>
          <w:rFonts w:ascii="Verdana" w:eastAsia="Times New Roman" w:hAnsi="Verdana"/>
          <w:color w:val="222222"/>
          <w:lang w:val="ro-RO"/>
        </w:rPr>
        <w:t xml:space="preserve"> </w:t>
      </w:r>
      <w:r w:rsidR="00320611" w:rsidRPr="001E0ECD">
        <w:rPr>
          <w:rFonts w:ascii="Verdana" w:eastAsia="Times New Roman" w:hAnsi="Verdana"/>
          <w:color w:val="222222"/>
          <w:lang w:val="ro-RO"/>
        </w:rPr>
        <w:t>în</w:t>
      </w:r>
      <w:r w:rsidR="00320611">
        <w:rPr>
          <w:rFonts w:ascii="Verdana" w:eastAsia="Times New Roman" w:hAnsi="Verdana"/>
          <w:color w:val="222222"/>
          <w:lang w:val="ro-RO"/>
        </w:rPr>
        <w:t xml:space="preserve"> funcțiune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</w:t>
      </w:r>
      <w:r w:rsidR="00EF4A94">
        <w:rPr>
          <w:rFonts w:ascii="Verdana" w:eastAsia="Times New Roman" w:hAnsi="Verdana"/>
          <w:color w:val="222222"/>
          <w:lang w:val="ro-RO"/>
        </w:rPr>
        <w:t>instalațiile</w:t>
      </w:r>
      <w:r w:rsidR="001E0ECD" w:rsidRPr="001E0ECD">
        <w:rPr>
          <w:rFonts w:ascii="Verdana" w:eastAsia="Times New Roman" w:hAnsi="Verdana"/>
          <w:color w:val="222222"/>
          <w:lang w:val="ro-RO"/>
        </w:rPr>
        <w:t xml:space="preserve"> de polipropilenă și polietilenă de înaltă </w:t>
      </w:r>
      <w:r w:rsidR="00EF4A94">
        <w:rPr>
          <w:rFonts w:ascii="Verdana" w:eastAsia="Times New Roman" w:hAnsi="Verdana"/>
          <w:color w:val="222222"/>
          <w:lang w:val="ro-RO"/>
        </w:rPr>
        <w:t>și joasă densitate.</w:t>
      </w:r>
      <w:r w:rsidR="00701AC2" w:rsidRPr="004455F1">
        <w:rPr>
          <w:rFonts w:ascii="Verdana" w:eastAsia="Times New Roman" w:hAnsi="Verdana"/>
          <w:color w:val="222222"/>
          <w:lang w:val="ro-RO"/>
        </w:rPr>
        <w:t> </w:t>
      </w:r>
    </w:p>
    <w:p w:rsidR="00701AC2" w:rsidRPr="004455F1" w:rsidRDefault="00701AC2" w:rsidP="00701AC2">
      <w:pPr>
        <w:shd w:val="clear" w:color="auto" w:fill="FFFFFF"/>
        <w:spacing w:after="0" w:line="253" w:lineRule="atLeast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color w:val="222222"/>
          <w:lang w:val="ro-RO"/>
        </w:rPr>
        <w:t> </w:t>
      </w:r>
    </w:p>
    <w:p w:rsidR="00701AC2" w:rsidRPr="004455F1" w:rsidRDefault="00021E0A" w:rsidP="00701AC2">
      <w:pPr>
        <w:shd w:val="clear" w:color="auto" w:fill="FFFFFF"/>
        <w:spacing w:after="0" w:line="253" w:lineRule="atLeast"/>
        <w:jc w:val="both"/>
        <w:rPr>
          <w:rFonts w:eastAsia="Times New Roman"/>
          <w:color w:val="222222"/>
          <w:lang w:val="ro-RO"/>
        </w:rPr>
      </w:pPr>
      <w:r w:rsidRPr="00021E0A">
        <w:rPr>
          <w:rFonts w:ascii="Verdana" w:eastAsia="Times New Roman" w:hAnsi="Verdana"/>
          <w:b/>
          <w:bCs/>
          <w:color w:val="222222"/>
          <w:lang w:val="ro-RO"/>
        </w:rPr>
        <w:t>Departament</w:t>
      </w:r>
      <w:r>
        <w:rPr>
          <w:rFonts w:ascii="Verdana" w:eastAsia="Times New Roman" w:hAnsi="Verdana"/>
          <w:b/>
          <w:bCs/>
          <w:color w:val="222222"/>
          <w:lang w:val="ro-RO"/>
        </w:rPr>
        <w:t>ul</w:t>
      </w:r>
      <w:r w:rsidRPr="00021E0A">
        <w:rPr>
          <w:rFonts w:ascii="Verdana" w:eastAsia="Times New Roman" w:hAnsi="Verdana"/>
          <w:b/>
          <w:bCs/>
          <w:color w:val="222222"/>
          <w:lang w:val="ro-RO"/>
        </w:rPr>
        <w:t xml:space="preserve"> comunicare si relații publice</w:t>
      </w:r>
    </w:p>
    <w:p w:rsidR="00701AC2" w:rsidRPr="004455F1" w:rsidRDefault="00701AC2" w:rsidP="00701AC2">
      <w:pPr>
        <w:shd w:val="clear" w:color="auto" w:fill="FFFFFF"/>
        <w:spacing w:after="0" w:line="253" w:lineRule="atLeast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>KMG International</w:t>
      </w:r>
      <w:bookmarkStart w:id="0" w:name="_GoBack"/>
      <w:bookmarkEnd w:id="0"/>
    </w:p>
    <w:p w:rsidR="00701AC2" w:rsidRPr="004455F1" w:rsidRDefault="00701AC2" w:rsidP="00701AC2">
      <w:pPr>
        <w:shd w:val="clear" w:color="auto" w:fill="FFFFFF"/>
        <w:spacing w:after="0" w:line="253" w:lineRule="atLeast"/>
        <w:jc w:val="both"/>
        <w:rPr>
          <w:rFonts w:eastAsia="Times New Roman"/>
          <w:color w:val="222222"/>
          <w:lang w:val="ro-RO"/>
        </w:rPr>
      </w:pPr>
      <w:r w:rsidRPr="004455F1">
        <w:rPr>
          <w:rFonts w:ascii="Verdana" w:eastAsia="Times New Roman" w:hAnsi="Verdana"/>
          <w:b/>
          <w:bCs/>
          <w:color w:val="222222"/>
          <w:lang w:val="ro-RO"/>
        </w:rPr>
        <w:t> </w:t>
      </w:r>
    </w:p>
    <w:p w:rsidR="00AD28C4" w:rsidRPr="004455F1" w:rsidRDefault="00303573" w:rsidP="00B2698B">
      <w:pPr>
        <w:spacing w:after="0"/>
        <w:jc w:val="both"/>
        <w:rPr>
          <w:rFonts w:ascii="Verdana" w:hAnsi="Verdana" w:cs="Times New Roman"/>
          <w:lang w:val="ro-RO"/>
        </w:rPr>
      </w:pPr>
      <w:r w:rsidRPr="004455F1">
        <w:rPr>
          <w:rFonts w:ascii="Verdana" w:hAnsi="Verdana" w:cs="Times New Roman"/>
          <w:b/>
          <w:lang w:val="ro-RO"/>
        </w:rPr>
        <w:t xml:space="preserve"> </w:t>
      </w:r>
    </w:p>
    <w:p w:rsidR="00275795" w:rsidRPr="004455F1" w:rsidRDefault="00275795" w:rsidP="00D11389">
      <w:pPr>
        <w:spacing w:after="0"/>
        <w:jc w:val="both"/>
        <w:rPr>
          <w:rFonts w:ascii="Verdana" w:hAnsi="Verdana" w:cs="Times New Roman"/>
          <w:lang w:val="ro-RO"/>
        </w:rPr>
      </w:pPr>
    </w:p>
    <w:p w:rsidR="007C4F8B" w:rsidRPr="004455F1" w:rsidRDefault="00303573" w:rsidP="00D11389">
      <w:pPr>
        <w:spacing w:after="0"/>
        <w:jc w:val="both"/>
        <w:rPr>
          <w:rFonts w:ascii="Verdana" w:hAnsi="Verdana" w:cs="Times New Roman"/>
          <w:b/>
          <w:lang w:val="ro-RO"/>
        </w:rPr>
      </w:pPr>
      <w:r w:rsidRPr="004455F1">
        <w:rPr>
          <w:rFonts w:ascii="Verdana" w:hAnsi="Verdana" w:cs="Times New Roman"/>
          <w:b/>
          <w:lang w:val="ro-RO"/>
        </w:rPr>
        <w:t xml:space="preserve"> </w:t>
      </w:r>
    </w:p>
    <w:p w:rsidR="008D6E50" w:rsidRPr="004455F1" w:rsidRDefault="008D6E50" w:rsidP="00D11389">
      <w:pPr>
        <w:spacing w:after="0"/>
        <w:jc w:val="both"/>
        <w:rPr>
          <w:rFonts w:ascii="Verdana" w:hAnsi="Verdana" w:cs="Times New Roman"/>
          <w:b/>
          <w:lang w:val="ro-RO"/>
        </w:rPr>
      </w:pPr>
    </w:p>
    <w:sectPr w:rsidR="008D6E50" w:rsidRPr="004455F1" w:rsidSect="00CA2A2F">
      <w:headerReference w:type="default" r:id="rId7"/>
      <w:footerReference w:type="default" r:id="rId8"/>
      <w:pgSz w:w="11907" w:h="16839" w:code="9"/>
      <w:pgMar w:top="1710" w:right="1152" w:bottom="720" w:left="1152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5F" w:rsidRDefault="00CD0D5F" w:rsidP="00F61C82">
      <w:pPr>
        <w:spacing w:after="0" w:line="240" w:lineRule="auto"/>
      </w:pPr>
      <w:r>
        <w:separator/>
      </w:r>
    </w:p>
  </w:endnote>
  <w:endnote w:type="continuationSeparator" w:id="0">
    <w:p w:rsidR="00CD0D5F" w:rsidRDefault="00CD0D5F" w:rsidP="00F6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7" w:type="dxa"/>
      <w:jc w:val="center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8"/>
      <w:gridCol w:w="2418"/>
      <w:gridCol w:w="2418"/>
      <w:gridCol w:w="1491"/>
      <w:gridCol w:w="2172"/>
    </w:tblGrid>
    <w:tr w:rsidR="00C8301C" w:rsidRPr="00955CC9">
      <w:trPr>
        <w:trHeight w:val="1331"/>
        <w:jc w:val="center"/>
      </w:trPr>
      <w:tc>
        <w:tcPr>
          <w:tcW w:w="2418" w:type="dxa"/>
          <w:vAlign w:val="center"/>
        </w:tcPr>
        <w:p w:rsidR="00C8301C" w:rsidRPr="00005C69" w:rsidRDefault="00C8301C" w:rsidP="002B03D0">
          <w:pPr>
            <w:pStyle w:val="Header"/>
            <w:jc w:val="right"/>
            <w:rPr>
              <w:rFonts w:ascii="Century Gothic" w:hAnsi="Century Gothic" w:cs="Century Gothic"/>
              <w:b/>
              <w:bCs/>
              <w:color w:val="595959"/>
              <w:sz w:val="14"/>
              <w:szCs w:val="14"/>
              <w:lang w:val="en-US" w:eastAsia="en-US"/>
            </w:rPr>
          </w:pPr>
          <w:r w:rsidRPr="00005C69">
            <w:rPr>
              <w:rFonts w:ascii="Century Gothic" w:hAnsi="Century Gothic" w:cs="Century Gothic"/>
              <w:b/>
              <w:bCs/>
              <w:color w:val="595959"/>
              <w:sz w:val="14"/>
              <w:szCs w:val="14"/>
              <w:lang w:val="en-US" w:eastAsia="en-US"/>
            </w:rPr>
            <w:t>KMG International N.V.</w:t>
          </w:r>
        </w:p>
        <w:p w:rsidR="00C8301C" w:rsidRPr="00005C69" w:rsidRDefault="00C8301C" w:rsidP="002B03D0">
          <w:pPr>
            <w:pStyle w:val="Header"/>
            <w:ind w:right="70"/>
            <w:jc w:val="right"/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</w:pPr>
        </w:p>
        <w:p w:rsidR="00C8301C" w:rsidRPr="00005C69" w:rsidRDefault="00C8301C" w:rsidP="002B03D0">
          <w:pPr>
            <w:pStyle w:val="Header"/>
            <w:jc w:val="right"/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</w:pPr>
          <w:r w:rsidRPr="00005C69"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  <w:t xml:space="preserve">World Trade Center   </w:t>
          </w:r>
        </w:p>
        <w:p w:rsidR="00C8301C" w:rsidRPr="00005C69" w:rsidRDefault="00C8301C" w:rsidP="002B03D0">
          <w:pPr>
            <w:pStyle w:val="Header"/>
            <w:jc w:val="right"/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</w:pPr>
          <w:r w:rsidRPr="00005C69"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  <w:t xml:space="preserve">           </w:t>
          </w:r>
          <w:proofErr w:type="spellStart"/>
          <w:r w:rsidRPr="00005C69"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  <w:t>Strawinskylaan</w:t>
          </w:r>
          <w:proofErr w:type="spellEnd"/>
          <w:r w:rsidRPr="00005C69"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  <w:t xml:space="preserve"> 807, Tower A, 8th floor</w:t>
          </w:r>
        </w:p>
        <w:p w:rsidR="00C8301C" w:rsidRPr="00005C69" w:rsidRDefault="00C8301C" w:rsidP="002B03D0">
          <w:pPr>
            <w:pStyle w:val="Header"/>
            <w:jc w:val="right"/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</w:pPr>
          <w:r w:rsidRPr="00005C69"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  <w:t>1077XX Amsterdam, The Netherlands</w:t>
          </w:r>
        </w:p>
      </w:tc>
      <w:tc>
        <w:tcPr>
          <w:tcW w:w="2418" w:type="dxa"/>
          <w:vAlign w:val="center"/>
        </w:tcPr>
        <w:p w:rsidR="00C8301C" w:rsidRPr="00955CC9" w:rsidRDefault="00C8301C" w:rsidP="002B03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  <w:r>
            <w:rPr>
              <w:rFonts w:ascii="Century Gothic" w:hAnsi="Century Gothic" w:cs="Century Gothic"/>
              <w:color w:val="595959"/>
              <w:sz w:val="14"/>
              <w:szCs w:val="14"/>
            </w:rPr>
            <w:t>Tel.: +31 205 75 23 90</w:t>
          </w:r>
        </w:p>
        <w:p w:rsidR="00C8301C" w:rsidRPr="00955CC9" w:rsidRDefault="00C8301C" w:rsidP="002B03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  <w:r>
            <w:rPr>
              <w:rFonts w:ascii="Century Gothic" w:hAnsi="Century Gothic" w:cs="Century Gothic"/>
              <w:color w:val="595959"/>
              <w:sz w:val="14"/>
              <w:szCs w:val="14"/>
            </w:rPr>
            <w:t xml:space="preserve">         Fax: +31 205 75 23 99</w:t>
          </w:r>
        </w:p>
        <w:p w:rsidR="00C8301C" w:rsidRPr="00955CC9" w:rsidRDefault="00C8301C" w:rsidP="002B03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</w:p>
        <w:p w:rsidR="00C8301C" w:rsidRPr="00955CC9" w:rsidRDefault="00C8301C" w:rsidP="002B03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</w:p>
        <w:p w:rsidR="00C8301C" w:rsidRPr="00955CC9" w:rsidRDefault="00C8301C" w:rsidP="002B03D0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  <w:r>
            <w:rPr>
              <w:rFonts w:ascii="Century Gothic" w:hAnsi="Century Gothic" w:cs="Century Gothic"/>
              <w:b/>
              <w:bCs/>
              <w:color w:val="0070C0"/>
              <w:sz w:val="14"/>
              <w:szCs w:val="14"/>
            </w:rPr>
            <w:t>www.kmginternational.com</w:t>
          </w:r>
        </w:p>
      </w:tc>
      <w:tc>
        <w:tcPr>
          <w:tcW w:w="2418" w:type="dxa"/>
        </w:tcPr>
        <w:p w:rsidR="00C8301C" w:rsidRPr="00005C69" w:rsidRDefault="00C8301C" w:rsidP="004A2AF7">
          <w:pPr>
            <w:pStyle w:val="Header"/>
            <w:rPr>
              <w:rFonts w:ascii="Times New Roman" w:hAnsi="Times New Roman" w:cs="Times New Roman"/>
              <w:color w:val="595959"/>
              <w:sz w:val="16"/>
              <w:szCs w:val="16"/>
              <w:lang w:val="en-US" w:eastAsia="en-US"/>
            </w:rPr>
          </w:pPr>
        </w:p>
      </w:tc>
      <w:tc>
        <w:tcPr>
          <w:tcW w:w="1491" w:type="dxa"/>
        </w:tcPr>
        <w:p w:rsidR="00C8301C" w:rsidRPr="00005C69" w:rsidRDefault="00C8301C" w:rsidP="00955CC9">
          <w:pPr>
            <w:pStyle w:val="Header"/>
            <w:jc w:val="right"/>
            <w:rPr>
              <w:rFonts w:ascii="Century Gothic" w:hAnsi="Century Gothic" w:cs="Century Gothic"/>
              <w:color w:val="595959"/>
              <w:sz w:val="14"/>
              <w:szCs w:val="14"/>
              <w:lang w:val="en-US" w:eastAsia="en-US"/>
            </w:rPr>
          </w:pPr>
        </w:p>
      </w:tc>
      <w:tc>
        <w:tcPr>
          <w:tcW w:w="2172" w:type="dxa"/>
        </w:tcPr>
        <w:p w:rsidR="00C8301C" w:rsidRPr="00955CC9" w:rsidRDefault="00C8301C" w:rsidP="00955CC9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  <w:r>
            <w:rPr>
              <w:rFonts w:ascii="Century Gothic" w:hAnsi="Century Gothic" w:cs="Century Gothic"/>
              <w:color w:val="595959"/>
              <w:sz w:val="14"/>
              <w:szCs w:val="14"/>
            </w:rPr>
            <w:t xml:space="preserve">Registered at the Chamber </w:t>
          </w:r>
        </w:p>
        <w:p w:rsidR="00C8301C" w:rsidRPr="00955CC9" w:rsidRDefault="00C8301C" w:rsidP="00955CC9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Century Gothic" w:hAnsi="Century Gothic" w:cs="Century Gothic"/>
              <w:color w:val="595959"/>
              <w:sz w:val="14"/>
              <w:szCs w:val="14"/>
            </w:rPr>
          </w:pPr>
          <w:r>
            <w:rPr>
              <w:rFonts w:ascii="Century Gothic" w:hAnsi="Century Gothic" w:cs="Century Gothic"/>
              <w:color w:val="595959"/>
              <w:sz w:val="14"/>
              <w:szCs w:val="14"/>
            </w:rPr>
            <w:t>of Commerce Amsterdam: No. 24297754</w:t>
          </w:r>
        </w:p>
      </w:tc>
    </w:tr>
  </w:tbl>
  <w:p w:rsidR="00C8301C" w:rsidRPr="0032106B" w:rsidRDefault="00C8301C" w:rsidP="00F61C82">
    <w:pPr>
      <w:pStyle w:val="Footer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5F" w:rsidRDefault="00CD0D5F" w:rsidP="00F61C82">
      <w:pPr>
        <w:spacing w:after="0" w:line="240" w:lineRule="auto"/>
      </w:pPr>
      <w:r>
        <w:separator/>
      </w:r>
    </w:p>
  </w:footnote>
  <w:footnote w:type="continuationSeparator" w:id="0">
    <w:p w:rsidR="00CD0D5F" w:rsidRDefault="00CD0D5F" w:rsidP="00F6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1C" w:rsidRPr="0032106B" w:rsidRDefault="00C8301C">
    <w:pPr>
      <w:pStyle w:val="Header"/>
      <w:rPr>
        <w:rFonts w:ascii="Times New Roman" w:hAnsi="Times New Roman" w:cs="Times New Roman"/>
        <w:color w:val="595959"/>
      </w:rPr>
    </w:pPr>
    <w:r>
      <w:rPr>
        <w:rFonts w:ascii="Times New Roman" w:hAnsi="Times New Roman" w:cs="Times New Roman"/>
        <w:color w:val="595959"/>
      </w:rPr>
      <w:t xml:space="preserve"> </w:t>
    </w:r>
    <w:r>
      <w:rPr>
        <w:rFonts w:ascii="Times New Roman" w:hAnsi="Times New Roman" w:cs="Times New Roman"/>
        <w:noProof/>
        <w:color w:val="595959"/>
        <w:lang w:val="en-US" w:eastAsia="en-US"/>
      </w:rPr>
      <w:drawing>
        <wp:inline distT="0" distB="0" distL="0" distR="0" wp14:anchorId="1AB0E869" wp14:editId="0FD0D692">
          <wp:extent cx="2674620" cy="632460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595959"/>
      </w:rPr>
      <w:t xml:space="preserve">                                   </w:t>
    </w:r>
    <w:r>
      <w:rPr>
        <w:rFonts w:ascii="Times New Roman" w:hAnsi="Times New Roman" w:cs="Times New Roman"/>
        <w:noProof/>
        <w:color w:val="595959"/>
        <w:lang w:val="en-US" w:eastAsia="en-US"/>
      </w:rPr>
      <w:drawing>
        <wp:inline distT="0" distB="0" distL="0" distR="0" wp14:anchorId="59C44B05" wp14:editId="5A7EF08E">
          <wp:extent cx="1775460" cy="518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595959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2A9"/>
    <w:multiLevelType w:val="hybridMultilevel"/>
    <w:tmpl w:val="680E8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5AC1"/>
    <w:multiLevelType w:val="hybridMultilevel"/>
    <w:tmpl w:val="ACDC1CAE"/>
    <w:lvl w:ilvl="0" w:tplc="AEF81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C4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C41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E1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80F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C9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AF9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4C0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63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C6809"/>
    <w:multiLevelType w:val="hybridMultilevel"/>
    <w:tmpl w:val="D67E172C"/>
    <w:lvl w:ilvl="0" w:tplc="337A3F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32EA"/>
    <w:multiLevelType w:val="hybridMultilevel"/>
    <w:tmpl w:val="FFF4BA28"/>
    <w:lvl w:ilvl="0" w:tplc="3B7A2B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D34B8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8721A8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DCC05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7FEE75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2A6F8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F476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80AC0C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354F06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6C4508"/>
    <w:multiLevelType w:val="hybridMultilevel"/>
    <w:tmpl w:val="F4D8B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D943E4"/>
    <w:multiLevelType w:val="hybridMultilevel"/>
    <w:tmpl w:val="7606470C"/>
    <w:lvl w:ilvl="0" w:tplc="01DEDB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0025B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82E993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80145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B3C0A3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50021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532A4D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C26F0F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BC05EC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F3797"/>
    <w:multiLevelType w:val="hybridMultilevel"/>
    <w:tmpl w:val="DE46B6F8"/>
    <w:lvl w:ilvl="0" w:tplc="E1087B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FDAB4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5465F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E2E400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E201BC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46EB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8C907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5B8867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53C51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7240D4"/>
    <w:multiLevelType w:val="multilevel"/>
    <w:tmpl w:val="F4AE5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484D6E30"/>
    <w:multiLevelType w:val="hybridMultilevel"/>
    <w:tmpl w:val="A4389C6E"/>
    <w:lvl w:ilvl="0" w:tplc="3BDCC92E">
      <w:numFmt w:val="bullet"/>
      <w:lvlText w:val="-"/>
      <w:lvlJc w:val="left"/>
      <w:pPr>
        <w:ind w:left="450" w:hanging="360"/>
      </w:pPr>
      <w:rPr>
        <w:rFonts w:ascii="Verdana" w:eastAsia="Times New Roman" w:hAnsi="Verdana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0315DB"/>
    <w:multiLevelType w:val="hybridMultilevel"/>
    <w:tmpl w:val="2EBEBF28"/>
    <w:lvl w:ilvl="0" w:tplc="E0861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386D0C2">
      <w:start w:val="9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E52E4B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90F35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56AC8E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038843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A2A5D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C243EA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7CE382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3166AF"/>
    <w:multiLevelType w:val="hybridMultilevel"/>
    <w:tmpl w:val="20C2380C"/>
    <w:lvl w:ilvl="0" w:tplc="6D0601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A6CFB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FD6F9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027B7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CDE1EC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576B34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A98B3A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2EE248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DFCB56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1A4021"/>
    <w:multiLevelType w:val="hybridMultilevel"/>
    <w:tmpl w:val="D2E4008E"/>
    <w:lvl w:ilvl="0" w:tplc="90C42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F58C4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DBECF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342E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866573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1F4144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8C43D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CBEEDA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4FA9A3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140EC6"/>
    <w:multiLevelType w:val="hybridMultilevel"/>
    <w:tmpl w:val="EE781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82"/>
    <w:rsid w:val="00000B00"/>
    <w:rsid w:val="00001CBB"/>
    <w:rsid w:val="00001E76"/>
    <w:rsid w:val="00002040"/>
    <w:rsid w:val="00002B5A"/>
    <w:rsid w:val="00003304"/>
    <w:rsid w:val="00003595"/>
    <w:rsid w:val="00003617"/>
    <w:rsid w:val="00005C69"/>
    <w:rsid w:val="00005F5B"/>
    <w:rsid w:val="0001040C"/>
    <w:rsid w:val="000178E1"/>
    <w:rsid w:val="00021E0A"/>
    <w:rsid w:val="00022ADB"/>
    <w:rsid w:val="00030FAC"/>
    <w:rsid w:val="0003155B"/>
    <w:rsid w:val="00034EB2"/>
    <w:rsid w:val="00035CF4"/>
    <w:rsid w:val="000424EE"/>
    <w:rsid w:val="00043C57"/>
    <w:rsid w:val="00050355"/>
    <w:rsid w:val="00050756"/>
    <w:rsid w:val="00050DF4"/>
    <w:rsid w:val="00053860"/>
    <w:rsid w:val="00054C68"/>
    <w:rsid w:val="00055B90"/>
    <w:rsid w:val="000644BA"/>
    <w:rsid w:val="00067FEE"/>
    <w:rsid w:val="0007296A"/>
    <w:rsid w:val="00073E41"/>
    <w:rsid w:val="00075B0E"/>
    <w:rsid w:val="0008005A"/>
    <w:rsid w:val="00080BB8"/>
    <w:rsid w:val="000857AF"/>
    <w:rsid w:val="0008590D"/>
    <w:rsid w:val="00090435"/>
    <w:rsid w:val="000906ED"/>
    <w:rsid w:val="00092CAD"/>
    <w:rsid w:val="000934BF"/>
    <w:rsid w:val="0009517D"/>
    <w:rsid w:val="000961C7"/>
    <w:rsid w:val="000965CC"/>
    <w:rsid w:val="00097AD2"/>
    <w:rsid w:val="000A64E2"/>
    <w:rsid w:val="000A7F2E"/>
    <w:rsid w:val="000B1014"/>
    <w:rsid w:val="000B2F6B"/>
    <w:rsid w:val="000B39DF"/>
    <w:rsid w:val="000B7EBE"/>
    <w:rsid w:val="000C455B"/>
    <w:rsid w:val="000C67ED"/>
    <w:rsid w:val="000C6E46"/>
    <w:rsid w:val="000C75E1"/>
    <w:rsid w:val="000D1CBF"/>
    <w:rsid w:val="000D53EF"/>
    <w:rsid w:val="000D62C7"/>
    <w:rsid w:val="000D6D2E"/>
    <w:rsid w:val="000E2A1D"/>
    <w:rsid w:val="000E60F4"/>
    <w:rsid w:val="000E771F"/>
    <w:rsid w:val="000E7B25"/>
    <w:rsid w:val="000F106F"/>
    <w:rsid w:val="000F56EE"/>
    <w:rsid w:val="000F5919"/>
    <w:rsid w:val="000F623C"/>
    <w:rsid w:val="000F65DF"/>
    <w:rsid w:val="000F7098"/>
    <w:rsid w:val="000F7D89"/>
    <w:rsid w:val="001022A5"/>
    <w:rsid w:val="0010356C"/>
    <w:rsid w:val="001065C8"/>
    <w:rsid w:val="001074E9"/>
    <w:rsid w:val="00111025"/>
    <w:rsid w:val="00112481"/>
    <w:rsid w:val="00112B01"/>
    <w:rsid w:val="00114A68"/>
    <w:rsid w:val="001168B7"/>
    <w:rsid w:val="0012109D"/>
    <w:rsid w:val="00123A02"/>
    <w:rsid w:val="001249C6"/>
    <w:rsid w:val="001253CA"/>
    <w:rsid w:val="001263AB"/>
    <w:rsid w:val="00127BE3"/>
    <w:rsid w:val="001305C1"/>
    <w:rsid w:val="00130C2B"/>
    <w:rsid w:val="00133585"/>
    <w:rsid w:val="00133F47"/>
    <w:rsid w:val="00136CC2"/>
    <w:rsid w:val="0014013E"/>
    <w:rsid w:val="00141DC2"/>
    <w:rsid w:val="00141E2C"/>
    <w:rsid w:val="00141F29"/>
    <w:rsid w:val="00142E70"/>
    <w:rsid w:val="00142EF3"/>
    <w:rsid w:val="001436C2"/>
    <w:rsid w:val="00143DD6"/>
    <w:rsid w:val="0014560F"/>
    <w:rsid w:val="0014712C"/>
    <w:rsid w:val="00147FC4"/>
    <w:rsid w:val="00150251"/>
    <w:rsid w:val="0015197C"/>
    <w:rsid w:val="00153683"/>
    <w:rsid w:val="001548D1"/>
    <w:rsid w:val="001557CB"/>
    <w:rsid w:val="0015626D"/>
    <w:rsid w:val="00160CF0"/>
    <w:rsid w:val="00162404"/>
    <w:rsid w:val="00165720"/>
    <w:rsid w:val="001665DF"/>
    <w:rsid w:val="0016755C"/>
    <w:rsid w:val="00171574"/>
    <w:rsid w:val="00175BB3"/>
    <w:rsid w:val="00187265"/>
    <w:rsid w:val="001874A2"/>
    <w:rsid w:val="001A2C9B"/>
    <w:rsid w:val="001A401B"/>
    <w:rsid w:val="001A47C3"/>
    <w:rsid w:val="001A5CD0"/>
    <w:rsid w:val="001A61F0"/>
    <w:rsid w:val="001B2666"/>
    <w:rsid w:val="001B4C81"/>
    <w:rsid w:val="001B55FB"/>
    <w:rsid w:val="001B580D"/>
    <w:rsid w:val="001B74D3"/>
    <w:rsid w:val="001C0621"/>
    <w:rsid w:val="001C3B40"/>
    <w:rsid w:val="001C4389"/>
    <w:rsid w:val="001C5F2D"/>
    <w:rsid w:val="001D1DE8"/>
    <w:rsid w:val="001D2F25"/>
    <w:rsid w:val="001D62C7"/>
    <w:rsid w:val="001E0ECD"/>
    <w:rsid w:val="001E389C"/>
    <w:rsid w:val="001E508C"/>
    <w:rsid w:val="001E5BD8"/>
    <w:rsid w:val="001F12C1"/>
    <w:rsid w:val="001F2A82"/>
    <w:rsid w:val="001F4F24"/>
    <w:rsid w:val="00200FC2"/>
    <w:rsid w:val="0020466D"/>
    <w:rsid w:val="00204F92"/>
    <w:rsid w:val="00205211"/>
    <w:rsid w:val="002064E4"/>
    <w:rsid w:val="002064F2"/>
    <w:rsid w:val="00210558"/>
    <w:rsid w:val="00212999"/>
    <w:rsid w:val="00212D37"/>
    <w:rsid w:val="00212D7F"/>
    <w:rsid w:val="00212F18"/>
    <w:rsid w:val="00217FEA"/>
    <w:rsid w:val="00221FF6"/>
    <w:rsid w:val="00224FBA"/>
    <w:rsid w:val="002250CC"/>
    <w:rsid w:val="002308CB"/>
    <w:rsid w:val="0023214C"/>
    <w:rsid w:val="00234997"/>
    <w:rsid w:val="00236B7E"/>
    <w:rsid w:val="0023771A"/>
    <w:rsid w:val="0024073A"/>
    <w:rsid w:val="00241FFB"/>
    <w:rsid w:val="002433C1"/>
    <w:rsid w:val="002527CF"/>
    <w:rsid w:val="0025280E"/>
    <w:rsid w:val="00256E14"/>
    <w:rsid w:val="002574B8"/>
    <w:rsid w:val="00261923"/>
    <w:rsid w:val="00261A0B"/>
    <w:rsid w:val="00266B76"/>
    <w:rsid w:val="00267695"/>
    <w:rsid w:val="00270616"/>
    <w:rsid w:val="00273089"/>
    <w:rsid w:val="00273CBF"/>
    <w:rsid w:val="0027530F"/>
    <w:rsid w:val="002755BE"/>
    <w:rsid w:val="00275795"/>
    <w:rsid w:val="002771D1"/>
    <w:rsid w:val="002774A1"/>
    <w:rsid w:val="002802E4"/>
    <w:rsid w:val="00281E64"/>
    <w:rsid w:val="002831BD"/>
    <w:rsid w:val="0028477C"/>
    <w:rsid w:val="00285F31"/>
    <w:rsid w:val="00290061"/>
    <w:rsid w:val="0029736F"/>
    <w:rsid w:val="00297CC2"/>
    <w:rsid w:val="002A0540"/>
    <w:rsid w:val="002A3427"/>
    <w:rsid w:val="002B03D0"/>
    <w:rsid w:val="002B3AC5"/>
    <w:rsid w:val="002B3C33"/>
    <w:rsid w:val="002B4CF8"/>
    <w:rsid w:val="002B6B34"/>
    <w:rsid w:val="002C11B1"/>
    <w:rsid w:val="002C21C2"/>
    <w:rsid w:val="002C6632"/>
    <w:rsid w:val="002C68A3"/>
    <w:rsid w:val="002C6CD0"/>
    <w:rsid w:val="002C7061"/>
    <w:rsid w:val="002D51C5"/>
    <w:rsid w:val="002D5D01"/>
    <w:rsid w:val="002D6F39"/>
    <w:rsid w:val="002D7B44"/>
    <w:rsid w:val="002E1EB5"/>
    <w:rsid w:val="002E31C6"/>
    <w:rsid w:val="002E37A0"/>
    <w:rsid w:val="002E6824"/>
    <w:rsid w:val="002F147A"/>
    <w:rsid w:val="002F3654"/>
    <w:rsid w:val="0030113D"/>
    <w:rsid w:val="00302462"/>
    <w:rsid w:val="00303573"/>
    <w:rsid w:val="0030366F"/>
    <w:rsid w:val="00303790"/>
    <w:rsid w:val="00305A6D"/>
    <w:rsid w:val="00305BE0"/>
    <w:rsid w:val="003125AC"/>
    <w:rsid w:val="00313B0D"/>
    <w:rsid w:val="00320611"/>
    <w:rsid w:val="0032106B"/>
    <w:rsid w:val="00323C3B"/>
    <w:rsid w:val="00324F40"/>
    <w:rsid w:val="003347D5"/>
    <w:rsid w:val="00335627"/>
    <w:rsid w:val="003367AD"/>
    <w:rsid w:val="00340112"/>
    <w:rsid w:val="00340187"/>
    <w:rsid w:val="003427BC"/>
    <w:rsid w:val="00343213"/>
    <w:rsid w:val="0034361E"/>
    <w:rsid w:val="00345329"/>
    <w:rsid w:val="0034754D"/>
    <w:rsid w:val="00352383"/>
    <w:rsid w:val="00352753"/>
    <w:rsid w:val="00353B91"/>
    <w:rsid w:val="00353DF7"/>
    <w:rsid w:val="003547DB"/>
    <w:rsid w:val="003551BB"/>
    <w:rsid w:val="00356446"/>
    <w:rsid w:val="0036147B"/>
    <w:rsid w:val="00366E1E"/>
    <w:rsid w:val="00371FC0"/>
    <w:rsid w:val="00374625"/>
    <w:rsid w:val="003754B7"/>
    <w:rsid w:val="003808A3"/>
    <w:rsid w:val="00387609"/>
    <w:rsid w:val="00390CB0"/>
    <w:rsid w:val="00394EC0"/>
    <w:rsid w:val="003A174F"/>
    <w:rsid w:val="003A269A"/>
    <w:rsid w:val="003B47F4"/>
    <w:rsid w:val="003B71ED"/>
    <w:rsid w:val="003B7729"/>
    <w:rsid w:val="003B7AAB"/>
    <w:rsid w:val="003C0D81"/>
    <w:rsid w:val="003C778F"/>
    <w:rsid w:val="003C78D4"/>
    <w:rsid w:val="003D1EF0"/>
    <w:rsid w:val="003D3712"/>
    <w:rsid w:val="003D6072"/>
    <w:rsid w:val="003D7002"/>
    <w:rsid w:val="003D7556"/>
    <w:rsid w:val="003E2877"/>
    <w:rsid w:val="003E4113"/>
    <w:rsid w:val="003E7F80"/>
    <w:rsid w:val="003F1D73"/>
    <w:rsid w:val="003F2765"/>
    <w:rsid w:val="003F31D8"/>
    <w:rsid w:val="0040240B"/>
    <w:rsid w:val="00403774"/>
    <w:rsid w:val="004069A3"/>
    <w:rsid w:val="0041226F"/>
    <w:rsid w:val="00412B14"/>
    <w:rsid w:val="00413E0A"/>
    <w:rsid w:val="0041767C"/>
    <w:rsid w:val="00420961"/>
    <w:rsid w:val="00426144"/>
    <w:rsid w:val="00426C5B"/>
    <w:rsid w:val="00427D1D"/>
    <w:rsid w:val="00427E66"/>
    <w:rsid w:val="00430A63"/>
    <w:rsid w:val="00432C47"/>
    <w:rsid w:val="004332D3"/>
    <w:rsid w:val="004342A2"/>
    <w:rsid w:val="0043507A"/>
    <w:rsid w:val="00437644"/>
    <w:rsid w:val="00440680"/>
    <w:rsid w:val="004437CF"/>
    <w:rsid w:val="00443D81"/>
    <w:rsid w:val="00444D88"/>
    <w:rsid w:val="004455F1"/>
    <w:rsid w:val="00445678"/>
    <w:rsid w:val="0044729A"/>
    <w:rsid w:val="0045294C"/>
    <w:rsid w:val="00460AF0"/>
    <w:rsid w:val="0046413F"/>
    <w:rsid w:val="00466618"/>
    <w:rsid w:val="00467C90"/>
    <w:rsid w:val="00467CD1"/>
    <w:rsid w:val="00473CDD"/>
    <w:rsid w:val="00475A0A"/>
    <w:rsid w:val="00476D1C"/>
    <w:rsid w:val="004807CD"/>
    <w:rsid w:val="00486288"/>
    <w:rsid w:val="0048694B"/>
    <w:rsid w:val="004878F4"/>
    <w:rsid w:val="00487C98"/>
    <w:rsid w:val="004A0186"/>
    <w:rsid w:val="004A0C24"/>
    <w:rsid w:val="004A0D48"/>
    <w:rsid w:val="004A24E3"/>
    <w:rsid w:val="004A2AF7"/>
    <w:rsid w:val="004A36A4"/>
    <w:rsid w:val="004A4F95"/>
    <w:rsid w:val="004A6E5A"/>
    <w:rsid w:val="004B2801"/>
    <w:rsid w:val="004B4377"/>
    <w:rsid w:val="004C0FDB"/>
    <w:rsid w:val="004C10F6"/>
    <w:rsid w:val="004C1502"/>
    <w:rsid w:val="004C1C68"/>
    <w:rsid w:val="004C2684"/>
    <w:rsid w:val="004C3708"/>
    <w:rsid w:val="004C38F0"/>
    <w:rsid w:val="004C3979"/>
    <w:rsid w:val="004C3DF5"/>
    <w:rsid w:val="004C66A5"/>
    <w:rsid w:val="004C7FA4"/>
    <w:rsid w:val="004D24DD"/>
    <w:rsid w:val="004D2C0D"/>
    <w:rsid w:val="004D6DB3"/>
    <w:rsid w:val="004D71BC"/>
    <w:rsid w:val="004E0B39"/>
    <w:rsid w:val="004E4802"/>
    <w:rsid w:val="004E5295"/>
    <w:rsid w:val="004F5994"/>
    <w:rsid w:val="004F66FE"/>
    <w:rsid w:val="004F69A0"/>
    <w:rsid w:val="00502D34"/>
    <w:rsid w:val="0050499B"/>
    <w:rsid w:val="005068E2"/>
    <w:rsid w:val="005070CA"/>
    <w:rsid w:val="00512346"/>
    <w:rsid w:val="00513857"/>
    <w:rsid w:val="00513D09"/>
    <w:rsid w:val="00515934"/>
    <w:rsid w:val="00515E96"/>
    <w:rsid w:val="00527DA1"/>
    <w:rsid w:val="00535B4D"/>
    <w:rsid w:val="00540714"/>
    <w:rsid w:val="00541175"/>
    <w:rsid w:val="00543FB2"/>
    <w:rsid w:val="0054533D"/>
    <w:rsid w:val="00547E9C"/>
    <w:rsid w:val="0055332D"/>
    <w:rsid w:val="00553477"/>
    <w:rsid w:val="00555A77"/>
    <w:rsid w:val="00563DB2"/>
    <w:rsid w:val="005645D6"/>
    <w:rsid w:val="00565157"/>
    <w:rsid w:val="005654DE"/>
    <w:rsid w:val="005658A5"/>
    <w:rsid w:val="00566093"/>
    <w:rsid w:val="0056774E"/>
    <w:rsid w:val="005702C3"/>
    <w:rsid w:val="00572670"/>
    <w:rsid w:val="005741FF"/>
    <w:rsid w:val="00577233"/>
    <w:rsid w:val="005818B1"/>
    <w:rsid w:val="00584212"/>
    <w:rsid w:val="00584610"/>
    <w:rsid w:val="005855C3"/>
    <w:rsid w:val="00586BFF"/>
    <w:rsid w:val="00590DF4"/>
    <w:rsid w:val="0059219C"/>
    <w:rsid w:val="005927D4"/>
    <w:rsid w:val="00592FE7"/>
    <w:rsid w:val="00593E3C"/>
    <w:rsid w:val="00595488"/>
    <w:rsid w:val="00595EEB"/>
    <w:rsid w:val="005960D1"/>
    <w:rsid w:val="00596F0D"/>
    <w:rsid w:val="0059747D"/>
    <w:rsid w:val="005A0A5C"/>
    <w:rsid w:val="005A28D0"/>
    <w:rsid w:val="005A3377"/>
    <w:rsid w:val="005A728E"/>
    <w:rsid w:val="005B0522"/>
    <w:rsid w:val="005B0EE7"/>
    <w:rsid w:val="005B32B1"/>
    <w:rsid w:val="005B4143"/>
    <w:rsid w:val="005B6880"/>
    <w:rsid w:val="005B7348"/>
    <w:rsid w:val="005B7B62"/>
    <w:rsid w:val="005C6531"/>
    <w:rsid w:val="005D1DED"/>
    <w:rsid w:val="005D4096"/>
    <w:rsid w:val="005D4DE6"/>
    <w:rsid w:val="005D69DC"/>
    <w:rsid w:val="005D7D53"/>
    <w:rsid w:val="005E160C"/>
    <w:rsid w:val="005E6252"/>
    <w:rsid w:val="005E6D4C"/>
    <w:rsid w:val="005F2587"/>
    <w:rsid w:val="005F6217"/>
    <w:rsid w:val="005F688C"/>
    <w:rsid w:val="006018BB"/>
    <w:rsid w:val="00606517"/>
    <w:rsid w:val="0061029D"/>
    <w:rsid w:val="006116DE"/>
    <w:rsid w:val="00611887"/>
    <w:rsid w:val="006120E8"/>
    <w:rsid w:val="0061359B"/>
    <w:rsid w:val="00613F76"/>
    <w:rsid w:val="006140B1"/>
    <w:rsid w:val="0061582A"/>
    <w:rsid w:val="00615FCD"/>
    <w:rsid w:val="00616FB7"/>
    <w:rsid w:val="00620719"/>
    <w:rsid w:val="0062146C"/>
    <w:rsid w:val="006232AE"/>
    <w:rsid w:val="00626D31"/>
    <w:rsid w:val="0062790D"/>
    <w:rsid w:val="00634550"/>
    <w:rsid w:val="0064029A"/>
    <w:rsid w:val="00640B3E"/>
    <w:rsid w:val="00640EE3"/>
    <w:rsid w:val="0064690E"/>
    <w:rsid w:val="00652F76"/>
    <w:rsid w:val="00662886"/>
    <w:rsid w:val="00665F89"/>
    <w:rsid w:val="00667F92"/>
    <w:rsid w:val="006723AC"/>
    <w:rsid w:val="00673F53"/>
    <w:rsid w:val="00676553"/>
    <w:rsid w:val="00681B06"/>
    <w:rsid w:val="006875BE"/>
    <w:rsid w:val="00690BC2"/>
    <w:rsid w:val="006929A7"/>
    <w:rsid w:val="00697BDB"/>
    <w:rsid w:val="006A4D24"/>
    <w:rsid w:val="006A5ED9"/>
    <w:rsid w:val="006A6703"/>
    <w:rsid w:val="006A6956"/>
    <w:rsid w:val="006B591D"/>
    <w:rsid w:val="006B5BF1"/>
    <w:rsid w:val="006B6AA1"/>
    <w:rsid w:val="006B7C40"/>
    <w:rsid w:val="006C10C9"/>
    <w:rsid w:val="006C1CEF"/>
    <w:rsid w:val="006C2F3C"/>
    <w:rsid w:val="006C4616"/>
    <w:rsid w:val="006D54ED"/>
    <w:rsid w:val="006D5B96"/>
    <w:rsid w:val="006D7B45"/>
    <w:rsid w:val="006E0F63"/>
    <w:rsid w:val="006E3924"/>
    <w:rsid w:val="006E490C"/>
    <w:rsid w:val="006E4921"/>
    <w:rsid w:val="006F05A2"/>
    <w:rsid w:val="006F3885"/>
    <w:rsid w:val="006F58C5"/>
    <w:rsid w:val="00701215"/>
    <w:rsid w:val="00701AC2"/>
    <w:rsid w:val="007024D8"/>
    <w:rsid w:val="00706F81"/>
    <w:rsid w:val="0070771B"/>
    <w:rsid w:val="00710607"/>
    <w:rsid w:val="00712881"/>
    <w:rsid w:val="007164A9"/>
    <w:rsid w:val="007166BD"/>
    <w:rsid w:val="00720BF7"/>
    <w:rsid w:val="007222C9"/>
    <w:rsid w:val="00722D22"/>
    <w:rsid w:val="0072543A"/>
    <w:rsid w:val="00726627"/>
    <w:rsid w:val="007266D3"/>
    <w:rsid w:val="00727DAF"/>
    <w:rsid w:val="007308A3"/>
    <w:rsid w:val="007332E4"/>
    <w:rsid w:val="00733E9F"/>
    <w:rsid w:val="0074000B"/>
    <w:rsid w:val="00741BCD"/>
    <w:rsid w:val="0074293D"/>
    <w:rsid w:val="00742D42"/>
    <w:rsid w:val="00747764"/>
    <w:rsid w:val="00750E40"/>
    <w:rsid w:val="00754CD4"/>
    <w:rsid w:val="00765553"/>
    <w:rsid w:val="00765AB9"/>
    <w:rsid w:val="007666B5"/>
    <w:rsid w:val="00767743"/>
    <w:rsid w:val="007718EA"/>
    <w:rsid w:val="00771C30"/>
    <w:rsid w:val="00772E6E"/>
    <w:rsid w:val="00776840"/>
    <w:rsid w:val="00777643"/>
    <w:rsid w:val="007778AB"/>
    <w:rsid w:val="00783BD5"/>
    <w:rsid w:val="00783E3D"/>
    <w:rsid w:val="00783E8D"/>
    <w:rsid w:val="007860CF"/>
    <w:rsid w:val="00786D33"/>
    <w:rsid w:val="007877ED"/>
    <w:rsid w:val="00792448"/>
    <w:rsid w:val="0079632F"/>
    <w:rsid w:val="00797435"/>
    <w:rsid w:val="007A0236"/>
    <w:rsid w:val="007A053A"/>
    <w:rsid w:val="007A173B"/>
    <w:rsid w:val="007A1AA6"/>
    <w:rsid w:val="007A33F2"/>
    <w:rsid w:val="007A450E"/>
    <w:rsid w:val="007A5EEC"/>
    <w:rsid w:val="007A741F"/>
    <w:rsid w:val="007B0BC5"/>
    <w:rsid w:val="007B0D77"/>
    <w:rsid w:val="007B1C6C"/>
    <w:rsid w:val="007B552E"/>
    <w:rsid w:val="007B62F0"/>
    <w:rsid w:val="007B64CC"/>
    <w:rsid w:val="007C1181"/>
    <w:rsid w:val="007C4F8B"/>
    <w:rsid w:val="007D25AE"/>
    <w:rsid w:val="007D3084"/>
    <w:rsid w:val="007D3EC9"/>
    <w:rsid w:val="007E3006"/>
    <w:rsid w:val="007E387D"/>
    <w:rsid w:val="007E7626"/>
    <w:rsid w:val="007E7754"/>
    <w:rsid w:val="007F6400"/>
    <w:rsid w:val="007F780B"/>
    <w:rsid w:val="0080018A"/>
    <w:rsid w:val="00800649"/>
    <w:rsid w:val="008018BC"/>
    <w:rsid w:val="0081386F"/>
    <w:rsid w:val="0081745F"/>
    <w:rsid w:val="008206BB"/>
    <w:rsid w:val="0082079E"/>
    <w:rsid w:val="0082219C"/>
    <w:rsid w:val="00823527"/>
    <w:rsid w:val="00826F73"/>
    <w:rsid w:val="008271A4"/>
    <w:rsid w:val="008308FF"/>
    <w:rsid w:val="00833106"/>
    <w:rsid w:val="00835935"/>
    <w:rsid w:val="00840479"/>
    <w:rsid w:val="00840588"/>
    <w:rsid w:val="00843874"/>
    <w:rsid w:val="00845DEF"/>
    <w:rsid w:val="0085253B"/>
    <w:rsid w:val="008545BC"/>
    <w:rsid w:val="00860261"/>
    <w:rsid w:val="00860D8A"/>
    <w:rsid w:val="008616F0"/>
    <w:rsid w:val="00864F61"/>
    <w:rsid w:val="00871379"/>
    <w:rsid w:val="00871D62"/>
    <w:rsid w:val="00872360"/>
    <w:rsid w:val="008734C5"/>
    <w:rsid w:val="00873A3C"/>
    <w:rsid w:val="008749BD"/>
    <w:rsid w:val="00875543"/>
    <w:rsid w:val="0088010C"/>
    <w:rsid w:val="008843BF"/>
    <w:rsid w:val="00884EA1"/>
    <w:rsid w:val="00885B19"/>
    <w:rsid w:val="00886CBF"/>
    <w:rsid w:val="008876D9"/>
    <w:rsid w:val="00887908"/>
    <w:rsid w:val="00887C80"/>
    <w:rsid w:val="00887F7C"/>
    <w:rsid w:val="00895710"/>
    <w:rsid w:val="00896063"/>
    <w:rsid w:val="00897692"/>
    <w:rsid w:val="008A2AF6"/>
    <w:rsid w:val="008A2F78"/>
    <w:rsid w:val="008B02C6"/>
    <w:rsid w:val="008B12FA"/>
    <w:rsid w:val="008B24B9"/>
    <w:rsid w:val="008B5029"/>
    <w:rsid w:val="008B5C13"/>
    <w:rsid w:val="008B731F"/>
    <w:rsid w:val="008B77E7"/>
    <w:rsid w:val="008C3997"/>
    <w:rsid w:val="008D377F"/>
    <w:rsid w:val="008D4C42"/>
    <w:rsid w:val="008D6E50"/>
    <w:rsid w:val="008E0C43"/>
    <w:rsid w:val="008E2F33"/>
    <w:rsid w:val="008E603B"/>
    <w:rsid w:val="008E7A19"/>
    <w:rsid w:val="008F4895"/>
    <w:rsid w:val="008F4917"/>
    <w:rsid w:val="008F5671"/>
    <w:rsid w:val="008F7F18"/>
    <w:rsid w:val="00901ED0"/>
    <w:rsid w:val="00904B2B"/>
    <w:rsid w:val="009054E0"/>
    <w:rsid w:val="00906586"/>
    <w:rsid w:val="00907D2B"/>
    <w:rsid w:val="009130BA"/>
    <w:rsid w:val="00913C2E"/>
    <w:rsid w:val="00914D0A"/>
    <w:rsid w:val="00914F8E"/>
    <w:rsid w:val="00916A44"/>
    <w:rsid w:val="00924F09"/>
    <w:rsid w:val="00925078"/>
    <w:rsid w:val="0092586F"/>
    <w:rsid w:val="00927775"/>
    <w:rsid w:val="00932FAC"/>
    <w:rsid w:val="00934575"/>
    <w:rsid w:val="009349C2"/>
    <w:rsid w:val="00940040"/>
    <w:rsid w:val="009414F4"/>
    <w:rsid w:val="00941DF1"/>
    <w:rsid w:val="00941E4B"/>
    <w:rsid w:val="00946E0A"/>
    <w:rsid w:val="00951481"/>
    <w:rsid w:val="009550AD"/>
    <w:rsid w:val="00955CC9"/>
    <w:rsid w:val="00960FCB"/>
    <w:rsid w:val="00961C63"/>
    <w:rsid w:val="00962092"/>
    <w:rsid w:val="00963247"/>
    <w:rsid w:val="0096649B"/>
    <w:rsid w:val="0097231B"/>
    <w:rsid w:val="00972CBB"/>
    <w:rsid w:val="00973D27"/>
    <w:rsid w:val="00976C87"/>
    <w:rsid w:val="00981D74"/>
    <w:rsid w:val="009856FC"/>
    <w:rsid w:val="00992FCB"/>
    <w:rsid w:val="009932C6"/>
    <w:rsid w:val="00993F68"/>
    <w:rsid w:val="00994A2D"/>
    <w:rsid w:val="00997C0C"/>
    <w:rsid w:val="009A0086"/>
    <w:rsid w:val="009A0125"/>
    <w:rsid w:val="009A075C"/>
    <w:rsid w:val="009A1E28"/>
    <w:rsid w:val="009B09F5"/>
    <w:rsid w:val="009B1910"/>
    <w:rsid w:val="009B3086"/>
    <w:rsid w:val="009B377E"/>
    <w:rsid w:val="009B3E5F"/>
    <w:rsid w:val="009B4509"/>
    <w:rsid w:val="009B5EB7"/>
    <w:rsid w:val="009B7D2E"/>
    <w:rsid w:val="009C398A"/>
    <w:rsid w:val="009C3E13"/>
    <w:rsid w:val="009C5F4D"/>
    <w:rsid w:val="009C74CD"/>
    <w:rsid w:val="009C7CD1"/>
    <w:rsid w:val="009D03BE"/>
    <w:rsid w:val="009D260F"/>
    <w:rsid w:val="009D3051"/>
    <w:rsid w:val="009D411A"/>
    <w:rsid w:val="009D5EE8"/>
    <w:rsid w:val="009D67CD"/>
    <w:rsid w:val="009D6FB9"/>
    <w:rsid w:val="009D768A"/>
    <w:rsid w:val="009D7E6D"/>
    <w:rsid w:val="009E012A"/>
    <w:rsid w:val="009E31C5"/>
    <w:rsid w:val="009E3981"/>
    <w:rsid w:val="009E4674"/>
    <w:rsid w:val="009F0DAF"/>
    <w:rsid w:val="009F4BD3"/>
    <w:rsid w:val="009F6776"/>
    <w:rsid w:val="00A02C5B"/>
    <w:rsid w:val="00A03250"/>
    <w:rsid w:val="00A0328C"/>
    <w:rsid w:val="00A05CD7"/>
    <w:rsid w:val="00A124F1"/>
    <w:rsid w:val="00A168FD"/>
    <w:rsid w:val="00A31F3A"/>
    <w:rsid w:val="00A32F25"/>
    <w:rsid w:val="00A41CD2"/>
    <w:rsid w:val="00A421B1"/>
    <w:rsid w:val="00A425D9"/>
    <w:rsid w:val="00A44ECA"/>
    <w:rsid w:val="00A477BA"/>
    <w:rsid w:val="00A503AD"/>
    <w:rsid w:val="00A5260F"/>
    <w:rsid w:val="00A56A81"/>
    <w:rsid w:val="00A57CDB"/>
    <w:rsid w:val="00A62C66"/>
    <w:rsid w:val="00A647C8"/>
    <w:rsid w:val="00A6682C"/>
    <w:rsid w:val="00A66FD8"/>
    <w:rsid w:val="00A67D8D"/>
    <w:rsid w:val="00A707DC"/>
    <w:rsid w:val="00A70A2E"/>
    <w:rsid w:val="00A72169"/>
    <w:rsid w:val="00A806FC"/>
    <w:rsid w:val="00A8386A"/>
    <w:rsid w:val="00A83A45"/>
    <w:rsid w:val="00A84337"/>
    <w:rsid w:val="00A8616A"/>
    <w:rsid w:val="00A90684"/>
    <w:rsid w:val="00A94326"/>
    <w:rsid w:val="00A977AD"/>
    <w:rsid w:val="00A97BCA"/>
    <w:rsid w:val="00AA255B"/>
    <w:rsid w:val="00AA2D51"/>
    <w:rsid w:val="00AA6294"/>
    <w:rsid w:val="00AA79BE"/>
    <w:rsid w:val="00AB030A"/>
    <w:rsid w:val="00AB0CC5"/>
    <w:rsid w:val="00AB39FF"/>
    <w:rsid w:val="00AC0D46"/>
    <w:rsid w:val="00AC1312"/>
    <w:rsid w:val="00AC2FA6"/>
    <w:rsid w:val="00AC5150"/>
    <w:rsid w:val="00AC5C14"/>
    <w:rsid w:val="00AD27A9"/>
    <w:rsid w:val="00AD28C4"/>
    <w:rsid w:val="00AD2AD6"/>
    <w:rsid w:val="00AD5AD9"/>
    <w:rsid w:val="00AE08B4"/>
    <w:rsid w:val="00AE5473"/>
    <w:rsid w:val="00AE5D4D"/>
    <w:rsid w:val="00AE6876"/>
    <w:rsid w:val="00AF419D"/>
    <w:rsid w:val="00AF56F1"/>
    <w:rsid w:val="00AF60D6"/>
    <w:rsid w:val="00AF7A1A"/>
    <w:rsid w:val="00AF7C8A"/>
    <w:rsid w:val="00B00AF5"/>
    <w:rsid w:val="00B02A20"/>
    <w:rsid w:val="00B065B1"/>
    <w:rsid w:val="00B07A08"/>
    <w:rsid w:val="00B12581"/>
    <w:rsid w:val="00B209CD"/>
    <w:rsid w:val="00B20CC1"/>
    <w:rsid w:val="00B21C99"/>
    <w:rsid w:val="00B23432"/>
    <w:rsid w:val="00B23936"/>
    <w:rsid w:val="00B23D46"/>
    <w:rsid w:val="00B25CE7"/>
    <w:rsid w:val="00B2698B"/>
    <w:rsid w:val="00B2799B"/>
    <w:rsid w:val="00B341F3"/>
    <w:rsid w:val="00B365D2"/>
    <w:rsid w:val="00B37D20"/>
    <w:rsid w:val="00B42388"/>
    <w:rsid w:val="00B42CE5"/>
    <w:rsid w:val="00B440CD"/>
    <w:rsid w:val="00B45DCF"/>
    <w:rsid w:val="00B51820"/>
    <w:rsid w:val="00B539A5"/>
    <w:rsid w:val="00B552F9"/>
    <w:rsid w:val="00B55BA0"/>
    <w:rsid w:val="00B563A5"/>
    <w:rsid w:val="00B56582"/>
    <w:rsid w:val="00B60A37"/>
    <w:rsid w:val="00B625A4"/>
    <w:rsid w:val="00B64C43"/>
    <w:rsid w:val="00B66772"/>
    <w:rsid w:val="00B669C2"/>
    <w:rsid w:val="00B67E94"/>
    <w:rsid w:val="00B70623"/>
    <w:rsid w:val="00B71DBB"/>
    <w:rsid w:val="00B7348A"/>
    <w:rsid w:val="00B74FBA"/>
    <w:rsid w:val="00B75886"/>
    <w:rsid w:val="00B76D83"/>
    <w:rsid w:val="00B77208"/>
    <w:rsid w:val="00B779F4"/>
    <w:rsid w:val="00B77E6A"/>
    <w:rsid w:val="00B80282"/>
    <w:rsid w:val="00B80A59"/>
    <w:rsid w:val="00B83354"/>
    <w:rsid w:val="00B8468A"/>
    <w:rsid w:val="00B84863"/>
    <w:rsid w:val="00B85780"/>
    <w:rsid w:val="00B86837"/>
    <w:rsid w:val="00B87C87"/>
    <w:rsid w:val="00B92033"/>
    <w:rsid w:val="00B94A5B"/>
    <w:rsid w:val="00B94DDE"/>
    <w:rsid w:val="00B94E14"/>
    <w:rsid w:val="00BA1C42"/>
    <w:rsid w:val="00BA6989"/>
    <w:rsid w:val="00BA7C55"/>
    <w:rsid w:val="00BB1AD5"/>
    <w:rsid w:val="00BB5611"/>
    <w:rsid w:val="00BC26BB"/>
    <w:rsid w:val="00BC440E"/>
    <w:rsid w:val="00BC482C"/>
    <w:rsid w:val="00BC556A"/>
    <w:rsid w:val="00BC5CA2"/>
    <w:rsid w:val="00BC62D5"/>
    <w:rsid w:val="00BC6D7B"/>
    <w:rsid w:val="00BD2287"/>
    <w:rsid w:val="00BD38E2"/>
    <w:rsid w:val="00BD5D35"/>
    <w:rsid w:val="00BD785E"/>
    <w:rsid w:val="00BE0945"/>
    <w:rsid w:val="00BE6C8D"/>
    <w:rsid w:val="00BF0518"/>
    <w:rsid w:val="00BF0C59"/>
    <w:rsid w:val="00BF7AE5"/>
    <w:rsid w:val="00C01BD4"/>
    <w:rsid w:val="00C06C3B"/>
    <w:rsid w:val="00C12459"/>
    <w:rsid w:val="00C1247B"/>
    <w:rsid w:val="00C1363A"/>
    <w:rsid w:val="00C1642E"/>
    <w:rsid w:val="00C17BC8"/>
    <w:rsid w:val="00C24C88"/>
    <w:rsid w:val="00C3030F"/>
    <w:rsid w:val="00C32885"/>
    <w:rsid w:val="00C328D7"/>
    <w:rsid w:val="00C33F67"/>
    <w:rsid w:val="00C42E4C"/>
    <w:rsid w:val="00C44F3C"/>
    <w:rsid w:val="00C45795"/>
    <w:rsid w:val="00C5360F"/>
    <w:rsid w:val="00C538A7"/>
    <w:rsid w:val="00C56451"/>
    <w:rsid w:val="00C5673A"/>
    <w:rsid w:val="00C57258"/>
    <w:rsid w:val="00C57903"/>
    <w:rsid w:val="00C60C0F"/>
    <w:rsid w:val="00C62176"/>
    <w:rsid w:val="00C63DB0"/>
    <w:rsid w:val="00C64C35"/>
    <w:rsid w:val="00C65025"/>
    <w:rsid w:val="00C65296"/>
    <w:rsid w:val="00C65E7D"/>
    <w:rsid w:val="00C67CEE"/>
    <w:rsid w:val="00C7167E"/>
    <w:rsid w:val="00C72EAA"/>
    <w:rsid w:val="00C737F7"/>
    <w:rsid w:val="00C76CB2"/>
    <w:rsid w:val="00C80E87"/>
    <w:rsid w:val="00C818C2"/>
    <w:rsid w:val="00C8301C"/>
    <w:rsid w:val="00C84A29"/>
    <w:rsid w:val="00C86ECA"/>
    <w:rsid w:val="00C92810"/>
    <w:rsid w:val="00C977C0"/>
    <w:rsid w:val="00CA2A2F"/>
    <w:rsid w:val="00CA43C7"/>
    <w:rsid w:val="00CA5062"/>
    <w:rsid w:val="00CA79E9"/>
    <w:rsid w:val="00CB21E9"/>
    <w:rsid w:val="00CB2944"/>
    <w:rsid w:val="00CB5C13"/>
    <w:rsid w:val="00CB5E84"/>
    <w:rsid w:val="00CB6404"/>
    <w:rsid w:val="00CB77EE"/>
    <w:rsid w:val="00CB79EC"/>
    <w:rsid w:val="00CC0857"/>
    <w:rsid w:val="00CC409C"/>
    <w:rsid w:val="00CC42AC"/>
    <w:rsid w:val="00CC7829"/>
    <w:rsid w:val="00CD0D5F"/>
    <w:rsid w:val="00CD3117"/>
    <w:rsid w:val="00CD3C7D"/>
    <w:rsid w:val="00CD4F4E"/>
    <w:rsid w:val="00CD5470"/>
    <w:rsid w:val="00CD7726"/>
    <w:rsid w:val="00CE042C"/>
    <w:rsid w:val="00CE1040"/>
    <w:rsid w:val="00CE21EA"/>
    <w:rsid w:val="00CE3B6C"/>
    <w:rsid w:val="00CE78AE"/>
    <w:rsid w:val="00CF0AE0"/>
    <w:rsid w:val="00CF17AD"/>
    <w:rsid w:val="00CF2DB8"/>
    <w:rsid w:val="00CF367E"/>
    <w:rsid w:val="00CF40EF"/>
    <w:rsid w:val="00CF42AF"/>
    <w:rsid w:val="00CF5A7E"/>
    <w:rsid w:val="00CF71B9"/>
    <w:rsid w:val="00CF7DC4"/>
    <w:rsid w:val="00D11389"/>
    <w:rsid w:val="00D1421D"/>
    <w:rsid w:val="00D177D2"/>
    <w:rsid w:val="00D17994"/>
    <w:rsid w:val="00D17EC4"/>
    <w:rsid w:val="00D207F3"/>
    <w:rsid w:val="00D25C00"/>
    <w:rsid w:val="00D27B4F"/>
    <w:rsid w:val="00D30F71"/>
    <w:rsid w:val="00D33277"/>
    <w:rsid w:val="00D413B1"/>
    <w:rsid w:val="00D44BF9"/>
    <w:rsid w:val="00D50625"/>
    <w:rsid w:val="00D55755"/>
    <w:rsid w:val="00D63724"/>
    <w:rsid w:val="00D65AF3"/>
    <w:rsid w:val="00D72A39"/>
    <w:rsid w:val="00D73254"/>
    <w:rsid w:val="00D749EF"/>
    <w:rsid w:val="00D74C38"/>
    <w:rsid w:val="00D77492"/>
    <w:rsid w:val="00D77AEB"/>
    <w:rsid w:val="00D77BA1"/>
    <w:rsid w:val="00D80F2E"/>
    <w:rsid w:val="00D82ECC"/>
    <w:rsid w:val="00D85122"/>
    <w:rsid w:val="00D853B5"/>
    <w:rsid w:val="00D86100"/>
    <w:rsid w:val="00D87386"/>
    <w:rsid w:val="00D90676"/>
    <w:rsid w:val="00D9274E"/>
    <w:rsid w:val="00D932AE"/>
    <w:rsid w:val="00D94B2E"/>
    <w:rsid w:val="00D95489"/>
    <w:rsid w:val="00DA2DE5"/>
    <w:rsid w:val="00DA6331"/>
    <w:rsid w:val="00DB2DA3"/>
    <w:rsid w:val="00DB3F3A"/>
    <w:rsid w:val="00DB46B2"/>
    <w:rsid w:val="00DB4DFA"/>
    <w:rsid w:val="00DB7872"/>
    <w:rsid w:val="00DC49BE"/>
    <w:rsid w:val="00DC4A29"/>
    <w:rsid w:val="00DC4A62"/>
    <w:rsid w:val="00DC4EF4"/>
    <w:rsid w:val="00DD1920"/>
    <w:rsid w:val="00DD3B6F"/>
    <w:rsid w:val="00DD3D2E"/>
    <w:rsid w:val="00DD66F1"/>
    <w:rsid w:val="00DD6E70"/>
    <w:rsid w:val="00DE2914"/>
    <w:rsid w:val="00DE5194"/>
    <w:rsid w:val="00DE6075"/>
    <w:rsid w:val="00DE71ED"/>
    <w:rsid w:val="00DF4DA4"/>
    <w:rsid w:val="00DF7E4F"/>
    <w:rsid w:val="00DF7EC1"/>
    <w:rsid w:val="00E06192"/>
    <w:rsid w:val="00E1559C"/>
    <w:rsid w:val="00E15B18"/>
    <w:rsid w:val="00E15DA9"/>
    <w:rsid w:val="00E1784C"/>
    <w:rsid w:val="00E2224B"/>
    <w:rsid w:val="00E2384A"/>
    <w:rsid w:val="00E2396B"/>
    <w:rsid w:val="00E23E61"/>
    <w:rsid w:val="00E26F6E"/>
    <w:rsid w:val="00E33A9D"/>
    <w:rsid w:val="00E37470"/>
    <w:rsid w:val="00E40312"/>
    <w:rsid w:val="00E41E04"/>
    <w:rsid w:val="00E428F1"/>
    <w:rsid w:val="00E45234"/>
    <w:rsid w:val="00E46116"/>
    <w:rsid w:val="00E53FB9"/>
    <w:rsid w:val="00E6080F"/>
    <w:rsid w:val="00E617B9"/>
    <w:rsid w:val="00E63847"/>
    <w:rsid w:val="00E64A46"/>
    <w:rsid w:val="00E65471"/>
    <w:rsid w:val="00E65756"/>
    <w:rsid w:val="00E725F1"/>
    <w:rsid w:val="00E74BEF"/>
    <w:rsid w:val="00E75B99"/>
    <w:rsid w:val="00E771D9"/>
    <w:rsid w:val="00E80B86"/>
    <w:rsid w:val="00E84081"/>
    <w:rsid w:val="00E84EBD"/>
    <w:rsid w:val="00E850C7"/>
    <w:rsid w:val="00E9007D"/>
    <w:rsid w:val="00E90D3B"/>
    <w:rsid w:val="00E913ED"/>
    <w:rsid w:val="00E93131"/>
    <w:rsid w:val="00E93233"/>
    <w:rsid w:val="00E93539"/>
    <w:rsid w:val="00E9424F"/>
    <w:rsid w:val="00E96444"/>
    <w:rsid w:val="00EA6356"/>
    <w:rsid w:val="00EB408B"/>
    <w:rsid w:val="00EB59B3"/>
    <w:rsid w:val="00EB5FA7"/>
    <w:rsid w:val="00EC0BBF"/>
    <w:rsid w:val="00EC0CFB"/>
    <w:rsid w:val="00EC2E98"/>
    <w:rsid w:val="00EC7551"/>
    <w:rsid w:val="00ED06EA"/>
    <w:rsid w:val="00ED0F19"/>
    <w:rsid w:val="00ED2297"/>
    <w:rsid w:val="00ED2E86"/>
    <w:rsid w:val="00ED3398"/>
    <w:rsid w:val="00ED42D0"/>
    <w:rsid w:val="00ED5EF9"/>
    <w:rsid w:val="00ED7E7C"/>
    <w:rsid w:val="00EE2DDC"/>
    <w:rsid w:val="00EE2FFD"/>
    <w:rsid w:val="00EE3639"/>
    <w:rsid w:val="00EE4B2E"/>
    <w:rsid w:val="00EE5D93"/>
    <w:rsid w:val="00EF3411"/>
    <w:rsid w:val="00EF4A94"/>
    <w:rsid w:val="00EF66DA"/>
    <w:rsid w:val="00EF6EA9"/>
    <w:rsid w:val="00F03150"/>
    <w:rsid w:val="00F031D5"/>
    <w:rsid w:val="00F13157"/>
    <w:rsid w:val="00F14A6B"/>
    <w:rsid w:val="00F15D4C"/>
    <w:rsid w:val="00F20235"/>
    <w:rsid w:val="00F202D4"/>
    <w:rsid w:val="00F24287"/>
    <w:rsid w:val="00F26836"/>
    <w:rsid w:val="00F33919"/>
    <w:rsid w:val="00F377BF"/>
    <w:rsid w:val="00F37D37"/>
    <w:rsid w:val="00F37E7E"/>
    <w:rsid w:val="00F439CA"/>
    <w:rsid w:val="00F463D5"/>
    <w:rsid w:val="00F47780"/>
    <w:rsid w:val="00F53DC7"/>
    <w:rsid w:val="00F55099"/>
    <w:rsid w:val="00F552C3"/>
    <w:rsid w:val="00F56383"/>
    <w:rsid w:val="00F56827"/>
    <w:rsid w:val="00F61C82"/>
    <w:rsid w:val="00F64474"/>
    <w:rsid w:val="00F6477C"/>
    <w:rsid w:val="00F65CCC"/>
    <w:rsid w:val="00F66A14"/>
    <w:rsid w:val="00F70D00"/>
    <w:rsid w:val="00F7128E"/>
    <w:rsid w:val="00F72504"/>
    <w:rsid w:val="00F75144"/>
    <w:rsid w:val="00F774CC"/>
    <w:rsid w:val="00F80E80"/>
    <w:rsid w:val="00F8594C"/>
    <w:rsid w:val="00F87F08"/>
    <w:rsid w:val="00F90809"/>
    <w:rsid w:val="00F94126"/>
    <w:rsid w:val="00F96E03"/>
    <w:rsid w:val="00FA0FB0"/>
    <w:rsid w:val="00FA5AFA"/>
    <w:rsid w:val="00FA611A"/>
    <w:rsid w:val="00FA68B3"/>
    <w:rsid w:val="00FB12F1"/>
    <w:rsid w:val="00FB1B91"/>
    <w:rsid w:val="00FB337C"/>
    <w:rsid w:val="00FB5900"/>
    <w:rsid w:val="00FB5C20"/>
    <w:rsid w:val="00FC007A"/>
    <w:rsid w:val="00FC0104"/>
    <w:rsid w:val="00FC0520"/>
    <w:rsid w:val="00FC0B3D"/>
    <w:rsid w:val="00FC23DD"/>
    <w:rsid w:val="00FC2533"/>
    <w:rsid w:val="00FC277C"/>
    <w:rsid w:val="00FC2E2C"/>
    <w:rsid w:val="00FC32F8"/>
    <w:rsid w:val="00FD0D30"/>
    <w:rsid w:val="00FD1AC7"/>
    <w:rsid w:val="00FD25A7"/>
    <w:rsid w:val="00FD3E14"/>
    <w:rsid w:val="00FD550B"/>
    <w:rsid w:val="00FD570E"/>
    <w:rsid w:val="00FD68C8"/>
    <w:rsid w:val="00FD6DEC"/>
    <w:rsid w:val="00FE0571"/>
    <w:rsid w:val="00FE085C"/>
    <w:rsid w:val="00FE0D64"/>
    <w:rsid w:val="00FE51D8"/>
    <w:rsid w:val="00FE58F6"/>
    <w:rsid w:val="00FF3778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54D1C"/>
  <w15:docId w15:val="{7256B198-C9D6-4D4C-9FCC-E40A3A1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7A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C82"/>
    <w:pPr>
      <w:keepNext/>
      <w:keepLines/>
      <w:spacing w:before="480" w:after="0"/>
      <w:outlineLvl w:val="0"/>
    </w:pPr>
    <w:rPr>
      <w:rFonts w:ascii="Cambria" w:eastAsia="SimSun" w:hAnsi="Cambria" w:cs="Cambria"/>
      <w:b/>
      <w:bCs/>
      <w:color w:val="365F91"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B4C81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1C82"/>
    <w:rPr>
      <w:rFonts w:ascii="Cambria" w:eastAsia="SimSun" w:hAnsi="Cambria" w:cs="Cambria"/>
      <w:b/>
      <w:bCs/>
      <w:color w:val="365F9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4C81"/>
    <w:rPr>
      <w:rFonts w:ascii="Cambria" w:eastAsia="SimSun" w:hAnsi="Cambria" w:cs="Cambria"/>
      <w:b/>
      <w:bCs/>
      <w:color w:val="4F81BD"/>
      <w:sz w:val="22"/>
      <w:szCs w:val="22"/>
    </w:rPr>
  </w:style>
  <w:style w:type="paragraph" w:styleId="Header">
    <w:name w:val="header"/>
    <w:basedOn w:val="Normal"/>
    <w:link w:val="HeaderChar"/>
    <w:uiPriority w:val="99"/>
    <w:rsid w:val="00F61C8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C82"/>
  </w:style>
  <w:style w:type="paragraph" w:styleId="Footer">
    <w:name w:val="footer"/>
    <w:basedOn w:val="Normal"/>
    <w:link w:val="FooterChar"/>
    <w:uiPriority w:val="99"/>
    <w:rsid w:val="00F61C8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C82"/>
  </w:style>
  <w:style w:type="table" w:styleId="TableGrid">
    <w:name w:val="Table Grid"/>
    <w:basedOn w:val="TableNormal"/>
    <w:uiPriority w:val="99"/>
    <w:rsid w:val="00F61C8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61C82"/>
    <w:pPr>
      <w:spacing w:after="0" w:line="240" w:lineRule="auto"/>
    </w:pPr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C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53DF7"/>
    <w:rPr>
      <w:color w:val="0000FF"/>
      <w:u w:val="single"/>
    </w:rPr>
  </w:style>
  <w:style w:type="paragraph" w:styleId="NoSpacing">
    <w:name w:val="No Spacing"/>
    <w:uiPriority w:val="99"/>
    <w:qFormat/>
    <w:rsid w:val="008B24B9"/>
    <w:rPr>
      <w:rFonts w:cs="Calibri"/>
    </w:rPr>
  </w:style>
  <w:style w:type="paragraph" w:styleId="ListParagraph">
    <w:name w:val="List Paragraph"/>
    <w:basedOn w:val="Normal"/>
    <w:uiPriority w:val="34"/>
    <w:qFormat/>
    <w:rsid w:val="00FD0D30"/>
    <w:pPr>
      <w:ind w:left="720"/>
    </w:pPr>
  </w:style>
  <w:style w:type="paragraph" w:styleId="NormalWeb">
    <w:name w:val="Normal (Web)"/>
    <w:basedOn w:val="Normal"/>
    <w:uiPriority w:val="99"/>
    <w:semiHidden/>
    <w:rsid w:val="0008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173B"/>
    <w:rPr>
      <w:i/>
      <w:iCs/>
    </w:rPr>
  </w:style>
  <w:style w:type="character" w:styleId="Strong">
    <w:name w:val="Strong"/>
    <w:basedOn w:val="DefaultParagraphFont"/>
    <w:uiPriority w:val="22"/>
    <w:qFormat/>
    <w:rsid w:val="000178E1"/>
    <w:rPr>
      <w:b/>
      <w:bCs/>
    </w:rPr>
  </w:style>
  <w:style w:type="character" w:customStyle="1" w:styleId="apple-converted-space">
    <w:name w:val="apple-converted-space"/>
    <w:uiPriority w:val="99"/>
    <w:rsid w:val="00EF6EA9"/>
  </w:style>
  <w:style w:type="character" w:customStyle="1" w:styleId="highlight">
    <w:name w:val="highlight"/>
    <w:uiPriority w:val="99"/>
    <w:rsid w:val="005F6217"/>
  </w:style>
  <w:style w:type="paragraph" w:styleId="HTMLPreformatted">
    <w:name w:val="HTML Preformatted"/>
    <w:basedOn w:val="Normal"/>
    <w:link w:val="HTMLPreformattedChar"/>
    <w:uiPriority w:val="99"/>
    <w:rsid w:val="00B42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42388"/>
    <w:rPr>
      <w:rFonts w:ascii="Courier New" w:hAnsi="Courier New" w:cs="Courier New"/>
    </w:rPr>
  </w:style>
  <w:style w:type="paragraph" w:customStyle="1" w:styleId="Default">
    <w:name w:val="Default"/>
    <w:rsid w:val="00DE71E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C2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C2"/>
    <w:rPr>
      <w:rFonts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4A68"/>
    <w:pPr>
      <w:spacing w:after="0" w:line="240" w:lineRule="auto"/>
    </w:pPr>
    <w:rPr>
      <w:rFonts w:ascii="Verdana" w:eastAsiaTheme="minorHAnsi" w:hAnsi="Verdan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4A68"/>
    <w:rPr>
      <w:rFonts w:ascii="Verdana" w:eastAsiaTheme="minorHAnsi" w:hAnsi="Verdana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267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445470413">
              <w:blockQuote w:val="1"/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single" w:sz="6" w:space="8" w:color="E67E22"/>
                <w:bottom w:val="none" w:sz="0" w:space="0" w:color="auto"/>
                <w:right w:val="none" w:sz="0" w:space="0" w:color="auto"/>
              </w:divBdr>
              <w:divsChild>
                <w:div w:id="1635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2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August 12th 2016</vt:lpstr>
      <vt:lpstr>August 12th 2016</vt:lpstr>
    </vt:vector>
  </TitlesOfParts>
  <Company>*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12th 2016</dc:title>
  <dc:creator>Puscuta, Aneta</dc:creator>
  <cp:lastModifiedBy>Dumitru, Mihaela</cp:lastModifiedBy>
  <cp:revision>2</cp:revision>
  <cp:lastPrinted>2019-02-05T07:15:00Z</cp:lastPrinted>
  <dcterms:created xsi:type="dcterms:W3CDTF">2019-02-06T09:21:00Z</dcterms:created>
  <dcterms:modified xsi:type="dcterms:W3CDTF">2019-02-06T09:21:00Z</dcterms:modified>
</cp:coreProperties>
</file>